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lto-earnings-predictions--2026-07-28"/>
    <w:p>
      <w:pPr>
        <w:pStyle w:val="Heading1"/>
      </w:pPr>
      <w:r>
        <w:t xml:space="preserve">VLTO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~$1.475B vs. cons $1.455B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 vs. cons $1.00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PQI Segment Core Sales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~0.0% vs. cons ~1.5%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4.26</m:t>
              </m:r>
              <m:r>
                <m:rPr>
                  <m:sty m:val="p"/>
                </m:rPr>
                <m:t>−</m:t>
              </m:r>
            </m:oMath>
            <w:r>
              <w:t xml:space="preserve">4.34 (mid ~$4.30) vs. cons $4.24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~3.5-4.5% (mid ~4.0%) vs. cons ~3.8%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1.03</m:t>
              </m:r>
              <m:r>
                <m:rPr>
                  <m:sty m:val="p"/>
                </m:rPr>
                <m:t>−</m:t>
              </m:r>
            </m:oMath>
            <w:r>
              <w:t xml:space="preserve">1.07 (mid ~$1.05) vs. cons $1.03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-1.2% (FADE)</w:t>
            </w:r>
          </w:p>
        </w:tc>
        <w:tc>
          <w:tcPr/>
          <w:p>
            <w:pPr>
              <w:pStyle w:val="Compact"/>
            </w:pPr>
            <w:r>
              <w:t xml:space="preserve">Stock already rallied ~24% off May lows and +2.5% the day before the print, pricing in a beat-and-raise; a modest EPS/revenue beat alongside a still-unresolved PQI packaging/color recovery and only a ~23.5% margin (flat y/y, step down from Q1's 25.1%) gives analysts room to trim out-quarter/FY27 estimates even after nominal FY26 guide raise, especially with cost-program cash charge and integration costs weighing on near-term consensus revisions—classic 'buy the rumor, sell the news' fade after an already-extended run into the print.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2026-07-28T01:47:32Z</dcterms:created>
  <dcterms:modified xsi:type="dcterms:W3CDTF">2026-07-28T01:47:32Z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