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good context. Let me also check for any 10-Q Q1 2026 details on segment margins and check recent tariff/muni funding news relevant to sector, plus confirm current valuation multiples.I now have enough for a thorough, well-grounded preview. Let me pull one more check on valuation (P/E) and any specific analyst rating changes closer to earnings.# Veralto Corporation (VLTO) — Q2 2026 Earnings Preview</w:t>
      </w:r>
      <w:r>
        <w:t xml:space="preserve"> </w:t>
      </w:r>
      <w:r>
        <w:rPr>
          <w:b/>
          <w:bCs/>
        </w:rPr>
        <w:t xml:space="preserve">Report Date:</w:t>
      </w:r>
      <w:r>
        <w:t xml:space="preserve"> </w:t>
      </w:r>
      <w:r>
        <w:t xml:space="preserve">Tuesday, July 28, 2026 (after market close) |</w:t>
      </w:r>
      <w:r>
        <w:t xml:space="preserve"> </w:t>
      </w:r>
      <w:r>
        <w:rPr>
          <w:b/>
          <w:bCs/>
        </w:rPr>
        <w:t xml:space="preserve">Call:</w:t>
      </w:r>
      <w:r>
        <w:t xml:space="preserve"> </w:t>
      </w:r>
      <w:r>
        <w:t xml:space="preserve">Wednesday, July 29, 7:30 a.m. ET (Q2 2026 Earnings Call)</w:t>
      </w:r>
    </w:p>
    <w:bookmarkStart w:id="9" w:name="snapshot"/>
    <w:p>
      <w:pPr>
        <w:pStyle w:val="Heading2"/>
      </w:pPr>
      <w:r>
        <w:t xml:space="preserve">Snapshot</w:t>
      </w:r>
    </w:p>
    <w:p>
      <w:pPr>
        <w:pStyle w:val="Compact"/>
        <w:numPr>
          <w:ilvl w:val="0"/>
          <w:numId w:val="1001"/>
        </w:numPr>
      </w:pPr>
      <w:r>
        <w:rPr>
          <w:b/>
          <w:bCs/>
        </w:rPr>
        <w:t xml:space="preserve">Consensus estimates:</w:t>
      </w:r>
      <w:r>
        <w:t xml:space="preserve"> </w:t>
      </w:r>
      <w:r>
        <w:t xml:space="preserve">~</w:t>
      </w:r>
      <m:oMath>
        <m:r>
          <m:t>1.00</m:t>
        </m:r>
        <m:r>
          <m:t>a</m:t>
        </m:r>
        <m:r>
          <m:t>d</m:t>
        </m:r>
        <m:r>
          <m:t>j</m:t>
        </m:r>
        <m:r>
          <m:t>u</m:t>
        </m:r>
        <m:r>
          <m:t>s</m:t>
        </m:r>
        <m:r>
          <m:t>t</m:t>
        </m:r>
        <m:r>
          <m:t>e</m:t>
        </m:r>
        <m:r>
          <m:t>d</m:t>
        </m:r>
        <m:r>
          <m:t>E</m:t>
        </m:r>
        <m:r>
          <m:t>P</m:t>
        </m:r>
        <m:r>
          <m:t>S</m:t>
        </m:r>
        <m:r>
          <m:rPr>
            <m:sty m:val="p"/>
          </m:rPr>
          <m:t>,</m:t>
        </m:r>
        <m:r>
          <m:t> </m:t>
        </m:r>
      </m:oMath>
      <w:r>
        <w:t xml:space="preserve">1.455B revenue (implying ~6% total sales growth)</w:t>
      </w:r>
    </w:p>
    <w:p>
      <w:pPr>
        <w:pStyle w:val="Compact"/>
        <w:numPr>
          <w:ilvl w:val="0"/>
          <w:numId w:val="1001"/>
        </w:numPr>
      </w:pPr>
      <w:r>
        <w:rPr>
          <w:b/>
          <w:bCs/>
        </w:rPr>
        <w:t xml:space="preserve">Company's own Q2 guidance (issued with Q1 report):</w:t>
      </w:r>
      <w:r>
        <w:t xml:space="preserve"> </w:t>
      </w:r>
      <w:r>
        <w:t xml:space="preserve">non-GAAP core sales growth of</w:t>
      </w:r>
      <w:r>
        <w:t xml:space="preserve"> </w:t>
      </w:r>
      <w:r>
        <w:rPr>
          <w:b/>
          <w:bCs/>
        </w:rPr>
        <w:t xml:space="preserve">3.0%–4.0%</w:t>
      </w:r>
      <w:r>
        <w:t xml:space="preserve">, adjusted operating margin of</w:t>
      </w:r>
      <w:r>
        <w:t xml:space="preserve"> </w:t>
      </w:r>
      <w:r>
        <w:rPr>
          <w:b/>
          <w:bCs/>
        </w:rPr>
        <w:t xml:space="preserve">~23.5%</w:t>
      </w:r>
      <w:r>
        <w:t xml:space="preserve"> </w:t>
      </w:r>
      <w:r>
        <w:t xml:space="preserve">(roughly flat y/y), and adjusted diluted EPS of</w:t>
      </w:r>
      <w:r>
        <w:t xml:space="preserve"> </w:t>
      </w:r>
      <m:oMath>
        <m:r>
          <m:t>0.96</m:t>
        </m:r>
        <m:r>
          <m:rPr>
            <m:sty m:val="p"/>
          </m:rPr>
          <m:t>–</m:t>
        </m:r>
      </m:oMath>
      <w:r>
        <w:rPr>
          <w:b/>
          <w:bCs/>
        </w:rPr>
        <w:t xml:space="preserve">1.00</w:t>
      </w:r>
    </w:p>
    <w:p>
      <w:pPr>
        <w:pStyle w:val="Compact"/>
        <w:numPr>
          <w:ilvl w:val="0"/>
          <w:numId w:val="1001"/>
        </w:numPr>
      </w:pPr>
      <w:r>
        <w:rPr>
          <w:b/>
          <w:bCs/>
        </w:rPr>
        <w:t xml:space="preserve">Stock:</w:t>
      </w:r>
      <w:r>
        <w:t xml:space="preserve"> </w:t>
      </w:r>
      <w:r>
        <w:t xml:space="preserve">~$94 (as of 7/27 close), down from a January high near $103 but up sharply off a late-May trough near $82; shares have rallied ~4% into the print</w:t>
      </w:r>
    </w:p>
    <w:p>
      <w:pPr>
        <w:pStyle w:val="Compact"/>
        <w:numPr>
          <w:ilvl w:val="0"/>
          <w:numId w:val="1001"/>
        </w:numPr>
      </w:pPr>
      <w:r>
        <w:rPr>
          <w:b/>
          <w:bCs/>
        </w:rPr>
        <w:t xml:space="preserve">Valuation:</w:t>
      </w:r>
      <w:r>
        <w:t xml:space="preserve"> </w:t>
      </w:r>
      <w:r>
        <w:t xml:space="preserve">trades around 23x forward earnings — a slight premium to the broader Commercial Services group but well below faster-growing peers, with the average Wall Street price target near $108–110 (implying meaningful upside if consensus is right)</w:t>
      </w:r>
    </w:p>
    <w:bookmarkEnd w:id="9"/>
    <w:bookmarkStart w:id="10" w:name="where-things-stood-after-q1"/>
    <w:p>
      <w:pPr>
        <w:pStyle w:val="Heading2"/>
      </w:pPr>
      <w:r>
        <w:t xml:space="preserve">Where Things Stood After Q1</w:t>
      </w:r>
    </w:p>
    <w:p>
      <w:pPr>
        <w:pStyle w:val="FirstParagraph"/>
      </w:pPr>
      <w:r>
        <w:t xml:space="preserve">Veralto's Q1 2026 (reported April 28) was a beat-and-raise quarter that set a fairly high bar. The company delivered</w:t>
      </w:r>
      <w:r>
        <w:t xml:space="preserve"> </w:t>
      </w:r>
      <w:r>
        <w:rPr>
          <w:b/>
          <w:bCs/>
        </w:rPr>
        <w:t xml:space="preserve">7% total sales growth and 13% adjusted EPS growth</w:t>
      </w:r>
      <w:r>
        <w:t xml:space="preserve">, with core sales growth of 1.9% (Water Quality core sales +3.8%, PQI core sales -1.0%). Management raised full-year adjusted EPS guidance to</w:t>
      </w:r>
      <w:r>
        <w:t xml:space="preserve"> </w:t>
      </w:r>
      <m:oMath>
        <m:r>
          <m:t>4.20</m:t>
        </m:r>
        <m:r>
          <m:rPr>
            <m:sty m:val="p"/>
          </m:rPr>
          <m:t>–</m:t>
        </m:r>
      </m:oMath>
      <w:r>
        <w:rPr>
          <w:b/>
          <w:bCs/>
        </w:rPr>
        <w:t xml:space="preserve">4.28</w:t>
      </w:r>
      <w:r>
        <w:t xml:space="preserve"> </w:t>
      </w:r>
      <w:r>
        <w:t xml:space="preserve">(from</w:t>
      </w:r>
      <w:r>
        <w:t xml:space="preserve"> </w:t>
      </w:r>
      <m:oMath>
        <m:r>
          <m:t>4.10</m:t>
        </m:r>
        <m:r>
          <m:rPr>
            <m:sty m:val="p"/>
          </m:rPr>
          <m:t>–</m:t>
        </m:r>
      </m:oMath>
      <w:r>
        <w:t xml:space="preserve">4.20) and increased free cash flow conversion guidance to</w:t>
      </w:r>
      <w:r>
        <w:t xml:space="preserve"> </w:t>
      </w:r>
      <w:r>
        <w:rPr>
          <w:b/>
          <w:bCs/>
        </w:rPr>
        <w:t xml:space="preserve">~100% of net earnings</w:t>
      </w:r>
      <w:r>
        <w:t xml:space="preserve">. CEO Jennifer Honeycutt framed the results as reflecting "the effectiveness of the Veralto Enterprise System, the essential role of our products and services in customers' operations, and the resilience of our end markets."</w:t>
      </w:r>
    </w:p>
    <w:p>
      <w:pPr>
        <w:pStyle w:val="BodyText"/>
      </w:pPr>
      <w:r>
        <w:t xml:space="preserve">Three structural developments from Q1 remain the key swing factors for Q2 and beyond:</w:t>
      </w:r>
    </w:p>
    <w:p>
      <w:pPr>
        <w:pStyle w:val="Compact"/>
        <w:numPr>
          <w:ilvl w:val="0"/>
          <w:numId w:val="1002"/>
        </w:numPr>
      </w:pPr>
      <w:r>
        <w:rPr>
          <w:b/>
          <w:bCs/>
        </w:rPr>
        <w:t xml:space="preserve">M&amp;A-fueled growth acceleration</w:t>
      </w:r>
      <w:r>
        <w:t xml:space="preserve"> </w:t>
      </w:r>
      <w:r>
        <w:t xml:space="preserve">— Veralto deployed roughly</w:t>
      </w:r>
      <w:r>
        <w:t xml:space="preserve"> </w:t>
      </w:r>
      <m:oMath>
        <m:r>
          <m:t>1</m:t>
        </m:r>
        <m:r>
          <m:t>b</m:t>
        </m:r>
        <m:r>
          <m:t>i</m:t>
        </m:r>
        <m:r>
          <m:t>l</m:t>
        </m:r>
        <m:r>
          <m:t>l</m:t>
        </m:r>
        <m:r>
          <m:t>i</m:t>
        </m:r>
        <m:r>
          <m:t>o</m:t>
        </m:r>
        <m:r>
          <m:t>n</m:t>
        </m:r>
        <m:r>
          <m:t>y</m:t>
        </m:r>
        <m:r>
          <m:t>e</m:t>
        </m:r>
        <m:r>
          <m:t>a</m:t>
        </m:r>
        <m:r>
          <m:t>r</m:t>
        </m:r>
        <m:r>
          <m:rPr>
            <m:sty m:val="p"/>
          </m:rPr>
          <m:t>−</m:t>
        </m:r>
        <m:r>
          <m:t>t</m:t>
        </m:r>
        <m:r>
          <m:t>o</m:t>
        </m:r>
        <m:r>
          <m:rPr>
            <m:sty m:val="p"/>
          </m:rPr>
          <m:t>−</m:t>
        </m:r>
        <m:r>
          <m:t>d</m:t>
        </m:r>
        <m:r>
          <m:t>a</m:t>
        </m:r>
        <m:r>
          <m:t>t</m:t>
        </m:r>
        <m:r>
          <m:t>e</m:t>
        </m:r>
        <m:r>
          <m:rPr>
            <m:sty m:val="p"/>
          </m:rPr>
          <m:t>*</m:t>
        </m:r>
        <m:r>
          <m:rPr>
            <m:sty m:val="p"/>
          </m:rPr>
          <m:t>*</m:t>
        </m:r>
        <m:r>
          <m:t>o</m:t>
        </m:r>
        <m:r>
          <m:t>n</m:t>
        </m:r>
        <m:r>
          <m:t>t</m:t>
        </m:r>
        <m:r>
          <m:t>h</m:t>
        </m:r>
        <m:r>
          <m:t>e</m:t>
        </m:r>
        <m:r>
          <m:t>a</m:t>
        </m:r>
        <m:r>
          <m:t>c</m:t>
        </m:r>
        <m:r>
          <m:t>q</m:t>
        </m:r>
        <m:r>
          <m:t>u</m:t>
        </m:r>
        <m:r>
          <m:t>i</m:t>
        </m:r>
        <m:r>
          <m:t>s</m:t>
        </m:r>
        <m:r>
          <m:t>i</m:t>
        </m:r>
        <m:r>
          <m:t>t</m:t>
        </m:r>
        <m:r>
          <m:t>i</m:t>
        </m:r>
        <m:r>
          <m:t>o</m:t>
        </m:r>
        <m:r>
          <m:t>n</m:t>
        </m:r>
        <m:r>
          <m:t>s</m:t>
        </m:r>
        <m:r>
          <m:t>o</m:t>
        </m:r>
        <m:r>
          <m:t>f</m:t>
        </m:r>
        <m:r>
          <m:rPr>
            <m:sty m:val="p"/>
          </m:rPr>
          <m:t>*</m:t>
        </m:r>
        <m:r>
          <m:rPr>
            <m:sty m:val="p"/>
          </m:rPr>
          <m:t>*</m:t>
        </m:r>
        <m:r>
          <m:t>I</m:t>
        </m:r>
        <m:r>
          <m:t>n</m:t>
        </m:r>
        <m:r>
          <m:rPr>
            <m:sty m:val="p"/>
          </m:rPr>
          <m:t>−</m:t>
        </m:r>
        <m:r>
          <m:t>S</m:t>
        </m:r>
        <m:r>
          <m:t>i</m:t>
        </m:r>
        <m:r>
          <m:t>t</m:t>
        </m:r>
        <m:r>
          <m:t>u</m:t>
        </m:r>
        <m:r>
          <m:rPr>
            <m:sty m:val="p"/>
          </m:rPr>
          <m:t>*</m:t>
        </m:r>
        <m:r>
          <m:rPr>
            <m:sty m:val="p"/>
          </m:rPr>
          <m:t>*</m:t>
        </m:r>
        <m:r>
          <m:rPr>
            <m:sty m:val="p"/>
          </m:rPr>
          <m:t>(</m:t>
        </m:r>
        <m:r>
          <m:t>W</m:t>
        </m:r>
        <m:r>
          <m:t>a</m:t>
        </m:r>
        <m:r>
          <m:t>t</m:t>
        </m:r>
        <m:r>
          <m:t>e</m:t>
        </m:r>
        <m:r>
          <m:t>r</m:t>
        </m:r>
        <m:r>
          <m:t>Q</m:t>
        </m:r>
        <m:r>
          <m:t>u</m:t>
        </m:r>
        <m:r>
          <m:t>a</m:t>
        </m:r>
        <m:r>
          <m:t>l</m:t>
        </m:r>
        <m:r>
          <m:t>i</m:t>
        </m:r>
        <m:r>
          <m:t>t</m:t>
        </m:r>
        <m:r>
          <m:t>y</m:t>
        </m:r>
        <m:r>
          <m:rPr>
            <m:sty m:val="p"/>
          </m:rPr>
          <m:t>)</m:t>
        </m:r>
        <m:r>
          <m:t>a</m:t>
        </m:r>
        <m:r>
          <m:t>n</m:t>
        </m:r>
        <m:r>
          <m:t>d</m:t>
        </m:r>
        <m:r>
          <m:rPr>
            <m:sty m:val="p"/>
          </m:rPr>
          <m:t>*</m:t>
        </m:r>
        <m:r>
          <m:rPr>
            <m:sty m:val="p"/>
          </m:rPr>
          <m:t>*</m:t>
        </m:r>
        <m:r>
          <m:t>G</m:t>
        </m:r>
        <m:r>
          <m:t>l</m:t>
        </m:r>
        <m:r>
          <m:t>o</m:t>
        </m:r>
        <m:r>
          <m:t>b</m:t>
        </m:r>
        <m:r>
          <m:t>a</m:t>
        </m:r>
        <m:r>
          <m:t>l</m:t>
        </m:r>
        <m:r>
          <m:t>V</m:t>
        </m:r>
        <m:r>
          <m:t>i</m:t>
        </m:r>
        <m:r>
          <m:t>s</m:t>
        </m:r>
        <m:r>
          <m:t>i</m:t>
        </m:r>
        <m:r>
          <m:t>o</m:t>
        </m:r>
        <m:r>
          <m:t>n</m:t>
        </m:r>
        <m:r>
          <m:rPr>
            <m:sty m:val="p"/>
          </m:rPr>
          <m:t>*</m:t>
        </m:r>
        <m:r>
          <m:rPr>
            <m:sty m:val="p"/>
          </m:rPr>
          <m:t>*</m:t>
        </m:r>
        <m:r>
          <m:rPr>
            <m:sty m:val="p"/>
          </m:rPr>
          <m:t>(</m:t>
        </m:r>
        <m:r>
          <m:t>P</m:t>
        </m:r>
        <m:r>
          <m:t>Q</m:t>
        </m:r>
        <m:r>
          <m:t>I</m:t>
        </m:r>
        <m:r>
          <m:rPr>
            <m:sty m:val="p"/>
          </m:rPr>
          <m:t>)</m:t>
        </m:r>
        <m:r>
          <m:rPr>
            <m:sty m:val="p"/>
          </m:rPr>
          <m:t>,</m:t>
        </m:r>
        <m:r>
          <m:t>p</m:t>
        </m:r>
        <m:r>
          <m:t>l</m:t>
        </m:r>
        <m:r>
          <m:t>u</m:t>
        </m:r>
        <m:r>
          <m:t>s</m:t>
        </m:r>
        <m:r>
          <m:rPr>
            <m:sty m:val="p"/>
          </m:rPr>
          <m:t>*</m:t>
        </m:r>
        <m:r>
          <m:rPr>
            <m:sty m:val="p"/>
          </m:rPr>
          <m:t>*</m:t>
        </m:r>
      </m:oMath>
      <w:r>
        <w:rPr>
          <w:b/>
          <w:bCs/>
        </w:rPr>
        <w:t xml:space="preserve">300 million</w:t>
      </w:r>
      <w:r>
        <w:t xml:space="preserve"> </w:t>
      </w:r>
      <w:r>
        <w:t xml:space="preserve">of opportunistic share buybacks (~1.3% of shares outstanding). Management has signaled continued bias toward M&amp;A given a strong balance sheet and active deal pipeline.</w:t>
      </w:r>
    </w:p>
    <w:p>
      <w:pPr>
        <w:pStyle w:val="Compact"/>
        <w:numPr>
          <w:ilvl w:val="0"/>
          <w:numId w:val="1002"/>
        </w:numPr>
      </w:pPr>
      <w:r>
        <w:rPr>
          <w:b/>
          <w:bCs/>
        </w:rPr>
        <w:t xml:space="preserve">New cost optimization program</w:t>
      </w:r>
      <w:r>
        <w:t xml:space="preserve"> </w:t>
      </w:r>
      <w:r>
        <w:t xml:space="preserve">— a company-wide efficiency initiative expected to incur an</w:t>
      </w:r>
      <w:r>
        <w:t xml:space="preserve"> </w:t>
      </w:r>
      <m:oMath>
        <m:r>
          <m:t>85</m:t>
        </m:r>
        <m:r>
          <m:rPr>
            <m:sty m:val="p"/>
          </m:rPr>
          <m:t>–</m:t>
        </m:r>
      </m:oMath>
      <w:r>
        <w:rPr>
          <w:b/>
          <w:bCs/>
        </w:rPr>
        <w:t xml:space="preserve">105 million charge</w:t>
      </w:r>
      <w:r>
        <w:t xml:space="preserve"> </w:t>
      </w:r>
      <w:r>
        <w:t xml:space="preserve">and generate</w:t>
      </w:r>
      <w:r>
        <w:t xml:space="preserve"> </w:t>
      </w:r>
      <m:oMath>
        <m:r>
          <m:t>65</m:t>
        </m:r>
        <m:r>
          <m:rPr>
            <m:sty m:val="p"/>
          </m:rPr>
          <m:t>–</m:t>
        </m:r>
      </m:oMath>
      <w:r>
        <w:rPr>
          <w:b/>
          <w:bCs/>
        </w:rPr>
        <w:t xml:space="preserve">75 million in annual run-rate savings by 2028</w:t>
      </w:r>
      <w:r>
        <w:t xml:space="preserve"> </w:t>
      </w:r>
      <w:r>
        <w:t xml:space="preserve">(roughly 50% of run-rate savings by 2027). Management was explicit that</w:t>
      </w:r>
      <w:r>
        <w:t xml:space="preserve"> </w:t>
      </w:r>
      <w:r>
        <w:rPr>
          <w:b/>
          <w:bCs/>
        </w:rPr>
        <w:t xml:space="preserve">no benefit is baked into 2026 guidance</w:t>
      </w:r>
      <w:r>
        <w:t xml:space="preserve"> </w:t>
      </w:r>
      <w:r>
        <w:t xml:space="preserve">— this is a 2027/2028 EPS lever, layered on top of the existing 30–35% incremental margin fall-through algorithm.</w:t>
      </w:r>
    </w:p>
    <w:p>
      <w:pPr>
        <w:pStyle w:val="Compact"/>
        <w:numPr>
          <w:ilvl w:val="0"/>
          <w:numId w:val="1002"/>
        </w:numPr>
      </w:pPr>
      <w:r>
        <w:rPr>
          <w:b/>
          <w:bCs/>
        </w:rPr>
        <w:t xml:space="preserve">Tariff/pricing dynamics</w:t>
      </w:r>
      <w:r>
        <w:t xml:space="preserve"> </w:t>
      </w:r>
      <w:r>
        <w:t xml:space="preserve">— the company said last year's tariff-related pricing actions should begin rolling off comps in the back half of 2026, while the impact of newer Section 232 tariffs and Middle East-driven commodity/oil cost inflation is "pretty small" and already embedded in guidance. Full-year price realization is expected to run at the</w:t>
      </w:r>
      <w:r>
        <w:t xml:space="preserve"> </w:t>
      </w:r>
      <w:r>
        <w:rPr>
          <w:b/>
          <w:bCs/>
        </w:rPr>
        <w:t xml:space="preserve">high end of the typical 100–200bps range</w:t>
      </w:r>
      <w:r>
        <w:t xml:space="preserve">, with PQI pricing slightly exceeding that.</w:t>
      </w:r>
    </w:p>
    <w:bookmarkEnd w:id="10"/>
    <w:bookmarkStart w:id="11" w:name="what-to-watch-in-the-q2-print"/>
    <w:p>
      <w:pPr>
        <w:pStyle w:val="Heading2"/>
      </w:pPr>
      <w:r>
        <w:t xml:space="preserve">What to Watch in the Q2 Print</w:t>
      </w:r>
    </w:p>
    <w:p>
      <w:pPr>
        <w:pStyle w:val="FirstParagraph"/>
      </w:pPr>
      <w:r>
        <w:rPr>
          <w:b/>
          <w:bCs/>
        </w:rPr>
        <w:t xml:space="preserve">1. Core sales growth trajectory.</w:t>
      </w:r>
      <w:r>
        <w:t xml:space="preserve"> </w:t>
      </w:r>
      <w:r>
        <w:t xml:space="preserve">Management guided to sequential acceleration through the year (Q1: 1.9% core growth → Q2 guide: 3.0–4.0%), with comps getting progressively easier into Q4. Whether Q2 actually shows that acceleration — rather than another quarter of noisy, mixed regional results — is the single biggest read-through for the full-year 3.0–4.5% core growth target.</w:t>
      </w:r>
    </w:p>
    <w:p>
      <w:pPr>
        <w:pStyle w:val="BodyText"/>
      </w:pPr>
      <w:r>
        <w:rPr>
          <w:b/>
          <w:bCs/>
        </w:rPr>
        <w:t xml:space="preserve">2. Water Quality momentum.</w:t>
      </w:r>
      <w:r>
        <w:t xml:space="preserve"> </w:t>
      </w:r>
      <w:r>
        <w:t xml:space="preserve">This segment posted the standout Q1 (10.1% total growth, 3.8% core), with management citing steady mid-single-digit municipal demand (particularly wastewater reuse/recycle/reclaim) and mid-to-high single-digit industrial growth, including an emerging tailwind from</w:t>
      </w:r>
      <w:r>
        <w:t xml:space="preserve"> </w:t>
      </w:r>
      <w:r>
        <w:rPr>
          <w:b/>
          <w:bCs/>
        </w:rPr>
        <w:t xml:space="preserve">data center-related demand</w:t>
      </w:r>
      <w:r>
        <w:t xml:space="preserve"> </w:t>
      </w:r>
      <w:r>
        <w:t xml:space="preserve">(semiconductor, power, mining end markets). Watch for commentary on</w:t>
      </w:r>
      <w:r>
        <w:t xml:space="preserve"> </w:t>
      </w:r>
      <w:r>
        <w:rPr>
          <w:b/>
          <w:bCs/>
        </w:rPr>
        <w:t xml:space="preserve">Trojan/UV order books</w:t>
      </w:r>
      <w:r>
        <w:t xml:space="preserve"> </w:t>
      </w:r>
      <w:r>
        <w:t xml:space="preserve">(long-cycle business, current bookings shipping into Q4 2027) and whether China municipal funding — described as still constrained — has shown any signs of loosening.</w:t>
      </w:r>
    </w:p>
    <w:p>
      <w:pPr>
        <w:pStyle w:val="BodyText"/>
      </w:pPr>
      <w:r>
        <w:rPr>
          <w:b/>
          <w:bCs/>
        </w:rPr>
        <w:t xml:space="preserve">3. PQI normalization.</w:t>
      </w:r>
      <w:r>
        <w:t xml:space="preserve"> </w:t>
      </w:r>
      <w:r>
        <w:t xml:space="preserve">PQI core sales declined 1.0% in Q1, dragged down by a nonrecurring, high-single-digit decline in</w:t>
      </w:r>
      <w:r>
        <w:t xml:space="preserve"> </w:t>
      </w:r>
      <w:r>
        <w:rPr>
          <w:b/>
          <w:bCs/>
        </w:rPr>
        <w:t xml:space="preserve">packaging and color</w:t>
      </w:r>
      <w:r>
        <w:t xml:space="preserve"> </w:t>
      </w:r>
      <w:r>
        <w:t xml:space="preserve">(discrete industrial end markets like automotive, textiles, and housing-linked building materials) and a tough prior-year comp in Western Europe marking and coding (+10.3% in Q1 2025). Management expects PQI to</w:t>
      </w:r>
      <w:r>
        <w:t xml:space="preserve"> </w:t>
      </w:r>
      <w:r>
        <w:rPr>
          <w:b/>
          <w:bCs/>
        </w:rPr>
        <w:t xml:space="preserve">"accelerate throughout the year"</w:t>
      </w:r>
      <w:r>
        <w:t xml:space="preserve"> </w:t>
      </w:r>
      <w:r>
        <w:t xml:space="preserve">as CPG/food &amp; beverage demand remains stable and comps ease. Investors should look for confirmation that the packaging and color weakness was truly transitory and for early contribution/synergy commentary on GlobalVision.</w:t>
      </w:r>
    </w:p>
    <w:p>
      <w:pPr>
        <w:pStyle w:val="BodyText"/>
      </w:pPr>
      <w:r>
        <w:rPr>
          <w:b/>
          <w:bCs/>
        </w:rPr>
        <w:t xml:space="preserve">4. Margins.</w:t>
      </w:r>
      <w:r>
        <w:t xml:space="preserve"> </w:t>
      </w:r>
      <w:r>
        <w:t xml:space="preserve">Adjusted operating margin was 25.1% in Q1 (up from 25.0% a year ago); Q2 guidance implies a</w:t>
      </w:r>
      <w:r>
        <w:t xml:space="preserve"> </w:t>
      </w:r>
      <w:r>
        <w:rPr>
          <w:b/>
          <w:bCs/>
        </w:rPr>
        <w:t xml:space="preserve">step-down to ~23.5%</w:t>
      </w:r>
      <w:r>
        <w:t xml:space="preserve"> </w:t>
      </w:r>
      <w:r>
        <w:t xml:space="preserve">(roughly flat y/y), which management attributed partly to PQI mix. Full-year guidance still calls for ~25bps of margin expansion — any incremental commentary on mix, tariff rollover, or early cost-program signals will matter for confidence in the 2H ramp.</w:t>
      </w:r>
    </w:p>
    <w:p>
      <w:pPr>
        <w:pStyle w:val="BodyText"/>
      </w:pPr>
      <w:r>
        <w:rPr>
          <w:b/>
          <w:bCs/>
        </w:rPr>
        <w:t xml:space="preserve">5. Capital deployment cadence.</w:t>
      </w:r>
      <w:r>
        <w:t xml:space="preserve"> </w:t>
      </w:r>
      <w:r>
        <w:t xml:space="preserve">After ~$1B deployed on M&amp;A and buybacks in Q1, watch for additional bolt-on announcements, further buyback activity against the $750 million authorization, and any signal on whether the board could expand that authorization.</w:t>
      </w:r>
    </w:p>
    <w:p>
      <w:pPr>
        <w:pStyle w:val="BodyText"/>
      </w:pPr>
      <w:r>
        <w:rPr>
          <w:b/>
          <w:bCs/>
        </w:rPr>
        <w:t xml:space="preserve">6. High-growth markets/geographic mix.</w:t>
      </w:r>
      <w:r>
        <w:t xml:space="preserve"> </w:t>
      </w:r>
      <w:r>
        <w:t xml:space="preserve">Q1 saw softness in Latin America (timing-related), a tough India comp, and ~10% declines in a small Middle East revenue base tied to regional conflict. Confirmation that these were timing issues rather than durable demand destruction would be a positive signal.</w:t>
      </w:r>
    </w:p>
    <w:bookmarkEnd w:id="11"/>
    <w:bookmarkStart w:id="12" w:name="sentiment-and-valuation-backdrop"/>
    <w:p>
      <w:pPr>
        <w:pStyle w:val="Heading2"/>
      </w:pPr>
      <w:r>
        <w:t xml:space="preserve">Sentiment and Valuation Backdrop</w:t>
      </w:r>
    </w:p>
    <w:p>
      <w:pPr>
        <w:pStyle w:val="FirstParagraph"/>
      </w:pPr>
      <w:r>
        <w:t xml:space="preserve">The stock has been volatile in 2026 — falling from the low-</w:t>
      </w:r>
      <m:oMath>
        <m:r>
          <m:t>100</m:t>
        </m:r>
        <m:r>
          <m:t>s</m:t>
        </m:r>
        <m:r>
          <m:t>i</m:t>
        </m:r>
        <m:r>
          <m:t>n</m:t>
        </m:r>
        <m:r>
          <m:t>J</m:t>
        </m:r>
        <m:r>
          <m:t>a</m:t>
        </m:r>
        <m:r>
          <m:t>n</m:t>
        </m:r>
        <m:r>
          <m:t>u</m:t>
        </m:r>
        <m:r>
          <m:t>a</m:t>
        </m:r>
        <m:r>
          <m:t>r</m:t>
        </m:r>
        <m:r>
          <m:t>y</m:t>
        </m:r>
        <m:r>
          <m:t>t</m:t>
        </m:r>
        <m:r>
          <m:t>o</m:t>
        </m:r>
        <m:r>
          <m:t>t</m:t>
        </m:r>
        <m:r>
          <m:t>h</m:t>
        </m:r>
        <m:r>
          <m:t>e</m:t>
        </m:r>
        <m:r>
          <m:t>l</m:t>
        </m:r>
        <m:r>
          <m:t>o</m:t>
        </m:r>
        <m:r>
          <m:t>w</m:t>
        </m:r>
        <m:r>
          <m:rPr>
            <m:sty m:val="p"/>
          </m:rPr>
          <m:t>−</m:t>
        </m:r>
      </m:oMath>
      <w:r>
        <w:t xml:space="preserve">80s by late May amid broader industrial/macro jitters and reportedly some</w:t>
      </w:r>
      <w:r>
        <w:t xml:space="preserve"> </w:t>
      </w:r>
      <w:r>
        <w:rPr>
          <w:b/>
          <w:bCs/>
        </w:rPr>
        <w:t xml:space="preserve">mechanical selling tied to Russell index exclusions</w:t>
      </w:r>
      <w:r>
        <w:t xml:space="preserve">, before recovering to the low-$90s into the print. Shares currently trade around 23x forward earnings, a modest premium to the Commercial Services industry average but a discount to faster-growing peers, and well below the average Street price target in the $108–110 range, implying analysts see the recent pullback as more sentiment-driven than fundamentals-driven — a dynamic that raises the stakes for management to show the promised sequential acceleration.</w:t>
      </w:r>
    </w:p>
    <w:bookmarkEnd w:id="12"/>
    <w:bookmarkStart w:id="13" w:name="key-risks-into-the-print"/>
    <w:p>
      <w:pPr>
        <w:pStyle w:val="Heading2"/>
      </w:pPr>
      <w:r>
        <w:t xml:space="preserve">Key Risks Into the Print</w:t>
      </w:r>
    </w:p>
    <w:p>
      <w:pPr>
        <w:pStyle w:val="Compact"/>
        <w:numPr>
          <w:ilvl w:val="0"/>
          <w:numId w:val="1003"/>
        </w:numPr>
      </w:pPr>
      <w:r>
        <w:t xml:space="preserve">A miss or "in-line but no beat" on core sales growth could reignite concerns about the durability of the acceleration narrative, especially with PQI's recovery still unconfirmed.</w:t>
      </w:r>
    </w:p>
    <w:p>
      <w:pPr>
        <w:pStyle w:val="Compact"/>
        <w:numPr>
          <w:ilvl w:val="0"/>
          <w:numId w:val="1003"/>
        </w:numPr>
      </w:pPr>
      <w:r>
        <w:t xml:space="preserve">Tariff/commodity cost inflation (steel, aluminum, oil-linked chemical inputs) evolving faster than the "small" impact management has modeled.</w:t>
      </w:r>
    </w:p>
    <w:p>
      <w:pPr>
        <w:pStyle w:val="Compact"/>
        <w:numPr>
          <w:ilvl w:val="0"/>
          <w:numId w:val="1003"/>
        </w:numPr>
      </w:pPr>
      <w:r>
        <w:t xml:space="preserve">Muni water funding in China remaining stalled longer than expected.</w:t>
      </w:r>
    </w:p>
    <w:p>
      <w:pPr>
        <w:pStyle w:val="Compact"/>
        <w:numPr>
          <w:ilvl w:val="0"/>
          <w:numId w:val="1003"/>
        </w:numPr>
      </w:pPr>
      <w:r>
        <w:t xml:space="preserve">Integration execution risk on In-Situ/GlobalVision and the newly launched cost optimization program, which carries a meaningful one-time cash charge (</w:t>
      </w:r>
      <m:oMath>
        <m:r>
          <m:t>85</m:t>
        </m:r>
        <m:r>
          <m:rPr>
            <m:sty m:val="p"/>
          </m:rPr>
          <m:t>–</m:t>
        </m:r>
      </m:oMath>
      <w:r>
        <w:t xml:space="preserve">105 million) before savings materialize in 2027–2028.</w:t>
      </w:r>
    </w:p>
    <w:bookmarkEnd w:id="13"/>
    <w:bookmarkStart w:id="14" w:name="bottom-line"/>
    <w:p>
      <w:pPr>
        <w:pStyle w:val="Heading2"/>
      </w:pPr>
      <w:r>
        <w:t xml:space="preserve">Bottom Line</w:t>
      </w:r>
    </w:p>
    <w:p>
      <w:pPr>
        <w:pStyle w:val="FirstParagraph"/>
      </w:pPr>
      <w:r>
        <w:t xml:space="preserve">Veralto goes into Q2 with a raised full-year EPS bar (</w:t>
      </w:r>
      <m:oMath>
        <m:r>
          <m:t>4.20</m:t>
        </m:r>
        <m:r>
          <m:rPr>
            <m:sty m:val="p"/>
          </m:rPr>
          <m:t>–</m:t>
        </m:r>
      </m:oMath>
      <w:r>
        <w:t xml:space="preserve">4.28), a clear (if back-half-loaded) core-growth acceleration story, and multiple non-organic value-creation levers (M&amp;A, buybacks, cost program) that management has been actively pulling. The market will be looking for confirmation — via core sales trends in Water Quality's data-center-adjacent strength and PQI's packaging/color recovery — that the deceleration in Q1 core growth was transitory rather than the start of a trend, alongside reassurance on margins given the sequential step-down implied by Q2 guidance.</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2026-07-28T01:47:32Z</dcterms:created>
  <dcterms:modified xsi:type="dcterms:W3CDTF">2026-07-28T01:47:32Z</dcterms:modified>
</cp:coreProperties>
</file>

<file path=docProps/custom.xml><?xml version="1.0" encoding="utf-8"?>
<Properties xmlns="http://schemas.openxmlformats.org/officeDocument/2006/custom-properties" xmlns:vt="http://schemas.openxmlformats.org/officeDocument/2006/docPropsVTypes"/>
</file>