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to-earnings-predictions--2026-07-28"/>
    <w:p>
      <w:pPr>
        <w:pStyle w:val="Heading1"/>
      </w:pPr>
      <w:r>
        <w:t xml:space="preserve">VLTO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$1.00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~3.8% vs. cons 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~23.7% vs. cons 23.5%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~$4.27 midpoint vs. cons $4.24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~3.75% midpoint vs. cons 3.75%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operating-margin expansion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 bps vs. cons 25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+1.4% (FADE)</w:t>
            </w:r>
          </w:p>
        </w:tc>
        <w:tc>
          <w:tcPr/>
          <w:p>
            <w:pPr>
              <w:pStyle w:val="Compact"/>
            </w:pPr>
            <w:r>
              <w:t xml:space="preserve">A modest Q2 beat and slightly higher FY2026 EPS midpoint should support the initial reaction, but the implied second-half EPS is only ~</w:t>
            </w:r>
            <m:oMath>
              <m:r>
                <m:t>2.18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2.17 embedded in prior guidance after a ~$1.02 Q2 result. Limited out-period upside should constrain estimate revisions and cause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2026-07-28T01:43:23Z</dcterms:created>
  <dcterms:modified xsi:type="dcterms:W3CDTF">2026-07-28T01:43:23Z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