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veralto-vlto-q2-2026-earnings-preview"/>
    <w:p>
      <w:pPr>
        <w:pStyle w:val="Heading1"/>
      </w:pPr>
      <w:r>
        <w:t xml:space="preserve">Veralto (VLTO) Q2 2026 Earnings Preview</w:t>
      </w:r>
    </w:p>
    <w:p>
      <w:pPr>
        <w:pStyle w:val="BlockText"/>
      </w:pPr>
      <w:r>
        <w:rPr>
          <w:b/>
          <w:bCs/>
        </w:rPr>
        <w:t xml:space="preserve">Timing clarification:</w:t>
      </w:r>
      <w:r>
        <w:t xml:space="preserve"> </w:t>
      </w:r>
      <w:r>
        <w:t xml:space="preserve">Veralto plans to publish its Q2 results</w:t>
      </w:r>
      <w:r>
        <w:t xml:space="preserve"> </w:t>
      </w:r>
      <w:r>
        <w:rPr>
          <w:b/>
          <w:bCs/>
        </w:rPr>
        <w:t xml:space="preserve">after the market closes today, Tuesday, July 28, 2026</w:t>
      </w:r>
      <w:r>
        <w:t xml:space="preserve">. The earnings call is</w:t>
      </w:r>
      <w:r>
        <w:t xml:space="preserve"> </w:t>
      </w:r>
      <w:r>
        <w:rPr>
          <w:b/>
          <w:bCs/>
        </w:rPr>
        <w:t xml:space="preserve">tomorrow, Wednesday, July 29, at 7:30 a.m. ET</w:t>
      </w:r>
      <w:r>
        <w:t xml:space="preserve">. (</w:t>
      </w:r>
      <w:hyperlink r:id="rId9">
        <w:r>
          <w:rPr>
            <w:rStyle w:val="Hyperlink"/>
          </w:rPr>
          <w:t xml:space="preserve">investors.veralto.com</w:t>
        </w:r>
      </w:hyperlink>
      <w:r>
        <w:t xml:space="preserve">)</w:t>
      </w:r>
    </w:p>
    <w:bookmarkStart w:id="11" w:name="at-a-glance"/>
    <w:p>
      <w:pPr>
        <w:pStyle w:val="Heading2"/>
      </w:pPr>
      <w:r>
        <w:t xml:space="preserve">At a glance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r>
      <w:tr>
        <w:tc>
          <w:tcPr/>
          <w:p>
            <w:pPr>
              <w:pStyle w:val="Compact"/>
            </w:pPr>
            <w:r>
              <w:t xml:space="preserve">Revenue</w:t>
            </w:r>
          </w:p>
        </w:tc>
        <w:tc>
          <w:tcPr/>
          <w:p>
            <w:pPr>
              <w:pStyle w:val="Compact"/>
              <w:jc w:val="right"/>
            </w:pPr>
            <w:r>
              <w:rPr>
                <w:b/>
                <w:bCs/>
              </w:rPr>
              <w:t xml:space="preserve">~$1.45 billion consensus</w:t>
            </w:r>
          </w:p>
        </w:tc>
        <w:tc>
          <w:tcPr/>
          <w:p>
            <w:pPr>
              <w:pStyle w:val="Compact"/>
              <w:jc w:val="right"/>
            </w:pPr>
            <w:r>
              <w:t xml:space="preserve">$1.371 billion</w:t>
            </w:r>
          </w:p>
        </w:tc>
      </w:tr>
      <w:tr>
        <w:tc>
          <w:tcPr/>
          <w:p>
            <w:pPr>
              <w:pStyle w:val="Compact"/>
            </w:pPr>
            <w:r>
              <w:t xml:space="preserve">Core sales growth</w:t>
            </w:r>
          </w:p>
        </w:tc>
        <w:tc>
          <w:tcPr/>
          <w:p>
            <w:pPr>
              <w:pStyle w:val="Compact"/>
              <w:jc w:val="right"/>
            </w:pPr>
            <w:r>
              <w:rPr>
                <w:b/>
                <w:bCs/>
              </w:rPr>
              <w:t xml:space="preserve">3%–4% company guidance</w:t>
            </w:r>
          </w:p>
        </w:tc>
        <w:tc>
          <w:tcPr/>
          <w:p>
            <w:pPr>
              <w:pStyle w:val="Compact"/>
              <w:jc w:val="right"/>
            </w:pPr>
            <w:r>
              <w:t xml:space="preserve">4.8%</w:t>
            </w:r>
          </w:p>
        </w:tc>
      </w:tr>
      <w:tr>
        <w:tc>
          <w:tcPr/>
          <w:p>
            <w:pPr>
              <w:pStyle w:val="Compact"/>
            </w:pPr>
            <w:r>
              <w:t xml:space="preserve">Adjusted operating margin</w:t>
            </w:r>
          </w:p>
        </w:tc>
        <w:tc>
          <w:tcPr/>
          <w:p>
            <w:pPr>
              <w:pStyle w:val="Compact"/>
              <w:jc w:val="right"/>
            </w:pPr>
            <w:r>
              <w:rPr>
                <w:b/>
                <w:bCs/>
              </w:rPr>
              <w:t xml:space="preserve">~23.5% company guidance</w:t>
            </w:r>
          </w:p>
        </w:tc>
        <w:tc>
          <w:tcPr/>
          <w:p>
            <w:pPr>
              <w:pStyle w:val="Compact"/>
              <w:jc w:val="right"/>
            </w:pPr>
            <w:r>
              <w:t xml:space="preserve">23.7%</w:t>
            </w:r>
          </w:p>
        </w:tc>
      </w:tr>
      <w:tr>
        <w:tc>
          <w:tcPr/>
          <w:p>
            <w:pPr>
              <w:pStyle w:val="Compact"/>
            </w:pPr>
            <w:r>
              <w:t xml:space="preserve">Adjusted EPS</w:t>
            </w:r>
          </w:p>
        </w:tc>
        <w:tc>
          <w:tcPr/>
          <w:p>
            <w:pPr>
              <w:pStyle w:val="Compact"/>
              <w:jc w:val="right"/>
            </w:pPr>
            <m:oMath>
              <m:r>
                <m:t>1.00</m:t>
              </m:r>
              <m:r>
                <m:rPr>
                  <m:sty m:val="p"/>
                </m:rPr>
                <m:t>–</m:t>
              </m:r>
            </m:oMath>
            <w:r>
              <w:rPr>
                <w:b/>
                <w:bCs/>
              </w:rPr>
              <w:t xml:space="preserve">1.01 consensus</w:t>
            </w:r>
          </w:p>
        </w:tc>
        <w:tc>
          <w:tcPr/>
          <w:p>
            <w:pPr>
              <w:pStyle w:val="Compact"/>
              <w:jc w:val="right"/>
            </w:pPr>
            <w:r>
              <w:t xml:space="preserve">$0.93</w:t>
            </w:r>
          </w:p>
        </w:tc>
      </w:tr>
      <w:tr>
        <w:tc>
          <w:tcPr/>
          <w:p>
            <w:pPr>
              <w:pStyle w:val="Compact"/>
            </w:pPr>
            <w:r>
              <w:t xml:space="preserve">Company EPS guidance</w:t>
            </w:r>
          </w:p>
        </w:tc>
        <w:tc>
          <w:tcPr/>
          <w:p>
            <w:pPr>
              <w:pStyle w:val="Compact"/>
              <w:jc w:val="right"/>
            </w:pPr>
            <m:oMath>
              <m:r>
                <m:t>0.96</m:t>
              </m:r>
              <m:r>
                <m:rPr>
                  <m:sty m:val="p"/>
                </m:rPr>
                <m:t>–</m:t>
              </m:r>
            </m:oMath>
            <w:r>
              <w:rPr>
                <w:b/>
                <w:bCs/>
              </w:rPr>
              <w:t xml:space="preserve">1.00</w:t>
            </w:r>
          </w:p>
        </w:tc>
        <w:tc>
          <w:tcPr/>
          <w:p>
            <w:pPr>
              <w:pStyle w:val="Compact"/>
              <w:jc w:val="right"/>
            </w:pPr>
            <w:r>
              <w:t xml:space="preserve">—</w:t>
            </w:r>
          </w:p>
        </w:tc>
      </w:tr>
    </w:tbl>
    <w:p>
      <w:pPr>
        <w:pStyle w:val="BodyText"/>
      </w:pPr>
      <w:r>
        <w:t xml:space="preserve">Published estimates cluster around</w:t>
      </w:r>
      <w:r>
        <w:t xml:space="preserve"> </w:t>
      </w:r>
      <m:oMath>
        <m:r>
          <m:t>1.00</m:t>
        </m:r>
        <m:r>
          <m:rPr>
            <m:sty m:val="p"/>
          </m:rPr>
          <m:t>–</m:t>
        </m:r>
      </m:oMath>
      <w:r>
        <w:t xml:space="preserve">1.01 of adjusted EPS and approximately $1.45 billion of revenue. The revenue estimate implies roughly 6% reported growth, consistent with Veralto’s model of 5.5%–6.5% total sales growth, including acquisitions and currency. (</w:t>
      </w:r>
      <w:hyperlink r:id="rId10">
        <w:r>
          <w:rPr>
            <w:rStyle w:val="Hyperlink"/>
          </w:rPr>
          <w:t xml:space="preserve">benzinga.com</w:t>
        </w:r>
      </w:hyperlink>
      <w:r>
        <w:t xml:space="preserve">)</w:t>
      </w:r>
    </w:p>
    <w:bookmarkEnd w:id="11"/>
    <w:bookmarkStart w:id="13" w:name="investment-setup"/>
    <w:p>
      <w:pPr>
        <w:pStyle w:val="Heading2"/>
      </w:pPr>
      <w:r>
        <w:t xml:space="preserve">Investment setup</w:t>
      </w:r>
    </w:p>
    <w:p>
      <w:pPr>
        <w:pStyle w:val="FirstParagraph"/>
      </w:pPr>
      <w:r>
        <w:t xml:space="preserve">The key issue is</w:t>
      </w:r>
      <w:r>
        <w:t xml:space="preserve"> </w:t>
      </w:r>
      <w:r>
        <w:rPr>
          <w:b/>
          <w:bCs/>
        </w:rPr>
        <w:t xml:space="preserve">not whether Veralto can post a small EPS beat</w:t>
      </w:r>
      <w:r>
        <w:t xml:space="preserve">. Consensus is already at or just above the top of management’s</w:t>
      </w:r>
      <w:r>
        <w:t xml:space="preserve"> </w:t>
      </w:r>
      <m:oMath>
        <m:r>
          <m:t>0.96</m:t>
        </m:r>
        <m:r>
          <m:rPr>
            <m:sty m:val="p"/>
          </m:rPr>
          <m:t>–</m:t>
        </m:r>
      </m:oMath>
      <w:r>
        <w:t xml:space="preserve">1.00 guidance, while the full-year consensus of approximately $4.24 sits at the midpoint of the existing</w:t>
      </w:r>
      <w:r>
        <w:t xml:space="preserve"> </w:t>
      </w:r>
      <m:oMath>
        <m:r>
          <m:t>4.20</m:t>
        </m:r>
        <m:r>
          <m:rPr>
            <m:sty m:val="p"/>
          </m:rPr>
          <m:t>–</m:t>
        </m:r>
      </m:oMath>
      <w:r>
        <w:t xml:space="preserve">4.28 range. (</w:t>
      </w:r>
      <w:hyperlink r:id="rId12">
        <w:r>
          <w:rPr>
            <w:rStyle w:val="Hyperlink"/>
          </w:rPr>
          <w:t xml:space="preserve">barchart.com</w:t>
        </w:r>
      </w:hyperlink>
      <w:r>
        <w:t xml:space="preserve">)</w:t>
      </w:r>
    </w:p>
    <w:p>
      <w:pPr>
        <w:pStyle w:val="BodyText"/>
      </w:pPr>
      <w:r>
        <w:t xml:space="preserve">For the report to be meaningfully positive, investors will probably want some combination of:</w:t>
      </w:r>
    </w:p>
    <w:p>
      <w:pPr>
        <w:pStyle w:val="Compact"/>
        <w:numPr>
          <w:ilvl w:val="0"/>
          <w:numId w:val="1001"/>
        </w:numPr>
      </w:pPr>
      <w:r>
        <w:t xml:space="preserve">Core growth at or above the 4% upper end;</w:t>
      </w:r>
    </w:p>
    <w:p>
      <w:pPr>
        <w:pStyle w:val="Compact"/>
        <w:numPr>
          <w:ilvl w:val="0"/>
          <w:numId w:val="1001"/>
        </w:numPr>
      </w:pPr>
      <w:r>
        <w:t xml:space="preserve">A clear return to growth in Product Quality &amp; Innovation;</w:t>
      </w:r>
    </w:p>
    <w:p>
      <w:pPr>
        <w:pStyle w:val="Compact"/>
        <w:numPr>
          <w:ilvl w:val="0"/>
          <w:numId w:val="1001"/>
        </w:numPr>
      </w:pPr>
      <w:r>
        <w:t xml:space="preserve">Better-than-guided margins despite acquisition dilution;</w:t>
      </w:r>
    </w:p>
    <w:p>
      <w:pPr>
        <w:pStyle w:val="Compact"/>
        <w:numPr>
          <w:ilvl w:val="0"/>
          <w:numId w:val="1001"/>
        </w:numPr>
      </w:pPr>
      <w:r>
        <w:t xml:space="preserve">A higher or more confidently framed full-year outlook.</w:t>
      </w:r>
    </w:p>
    <w:p>
      <w:pPr>
        <w:pStyle w:val="FirstParagraph"/>
      </w:pPr>
      <w:r>
        <w:t xml:space="preserve">A result merely in line with guidance, accompanied by an unchanged outlook, may not be enough. At a share price around the mid-$90s, VLTO trades at roughly</w:t>
      </w:r>
      <w:r>
        <w:t xml:space="preserve"> </w:t>
      </w:r>
      <w:r>
        <w:rPr>
          <w:b/>
          <w:bCs/>
        </w:rPr>
        <w:t xml:space="preserve">22 times</w:t>
      </w:r>
      <w:r>
        <w:t xml:space="preserve"> </w:t>
      </w:r>
      <w:r>
        <w:t xml:space="preserve">the $4.24 full-year consensus—reasonable for its recurring-revenue and cash-flow profile, but not a valuation that makes execution misses easy to overlook. (</w:t>
      </w:r>
      <w:hyperlink r:id="rId12">
        <w:r>
          <w:rPr>
            <w:rStyle w:val="Hyperlink"/>
          </w:rPr>
          <w:t xml:space="preserve">barchart.com</w:t>
        </w:r>
      </w:hyperlink>
      <w:r>
        <w:t xml:space="preserve">)</w:t>
      </w:r>
    </w:p>
    <w:bookmarkEnd w:id="13"/>
    <w:bookmarkStart w:id="15" w:name="Xf21532bde26a929dfd0efa3c4bb02209bc648ad"/>
    <w:p>
      <w:pPr>
        <w:pStyle w:val="Heading2"/>
      </w:pPr>
      <w:r>
        <w:t xml:space="preserve">The most important question: Is PQI recovering?</w:t>
      </w:r>
    </w:p>
    <w:p>
      <w:pPr>
        <w:pStyle w:val="FirstParagraph"/>
      </w:pPr>
      <w:r>
        <w:t xml:space="preserve">Q1’s consolidated 1.9% core growth masked a sharp segment divergence:</w:t>
      </w:r>
    </w:p>
    <w:p>
      <w:pPr>
        <w:pStyle w:val="Compact"/>
        <w:numPr>
          <w:ilvl w:val="0"/>
          <w:numId w:val="1002"/>
        </w:numPr>
      </w:pPr>
      <w:r>
        <w:rPr>
          <w:b/>
          <w:bCs/>
        </w:rPr>
        <w:t xml:space="preserve">Water Quality:</w:t>
      </w:r>
      <w:r>
        <w:t xml:space="preserve"> </w:t>
      </w:r>
      <w:r>
        <w:t xml:space="preserve">+3.8% core growth;</w:t>
      </w:r>
    </w:p>
    <w:p>
      <w:pPr>
        <w:pStyle w:val="Compact"/>
        <w:numPr>
          <w:ilvl w:val="0"/>
          <w:numId w:val="1002"/>
        </w:numPr>
      </w:pPr>
      <w:r>
        <w:rPr>
          <w:b/>
          <w:bCs/>
        </w:rPr>
        <w:t xml:space="preserve">Product Quality &amp; Innovation:</w:t>
      </w:r>
      <w:r>
        <w:t xml:space="preserve"> </w:t>
      </w:r>
      <w:r>
        <w:t xml:space="preserve">-1.0% core growth.</w:t>
      </w:r>
    </w:p>
    <w:p>
      <w:pPr>
        <w:pStyle w:val="FirstParagraph"/>
      </w:pPr>
      <w:r>
        <w:t xml:space="preserve">Water Quality benefited from healthy demand and pricing, while PQI’s performance was held back by packaging and color-related businesses. Management nevertheless said core growth should accelerate sequentially through the year, with second-half margins also improving. (</w:t>
      </w:r>
      <w:hyperlink r:id="rId14">
        <w:r>
          <w:rPr>
            <w:rStyle w:val="Hyperlink"/>
          </w:rPr>
          <w:t xml:space="preserve">investors.veralto.com</w:t>
        </w:r>
      </w:hyperlink>
      <w:r>
        <w:t xml:space="preserve">)</w:t>
      </w:r>
    </w:p>
    <w:p>
      <w:pPr>
        <w:pStyle w:val="BodyText"/>
      </w:pPr>
      <w:r>
        <w:t xml:space="preserve">That makes Q2 the first real test of the acceleration thesis. Investors should focus on:</w:t>
      </w:r>
    </w:p>
    <w:p>
      <w:pPr>
        <w:pStyle w:val="Compact"/>
        <w:numPr>
          <w:ilvl w:val="0"/>
          <w:numId w:val="1003"/>
        </w:numPr>
      </w:pPr>
      <w:r>
        <w:t xml:space="preserve">Whether PQI core sales return to positive territory;</w:t>
      </w:r>
    </w:p>
    <w:p>
      <w:pPr>
        <w:pStyle w:val="Compact"/>
        <w:numPr>
          <w:ilvl w:val="0"/>
          <w:numId w:val="1003"/>
        </w:numPr>
      </w:pPr>
      <w:r>
        <w:t xml:space="preserve">Whether marking and coding demand remains stable among consumer-packaged-goods customers;</w:t>
      </w:r>
    </w:p>
    <w:p>
      <w:pPr>
        <w:pStyle w:val="Compact"/>
        <w:numPr>
          <w:ilvl w:val="0"/>
          <w:numId w:val="1003"/>
        </w:numPr>
      </w:pPr>
      <w:r>
        <w:t xml:space="preserve">Whether delayed or weak packaging and color equipment sales begin to recover;</w:t>
      </w:r>
    </w:p>
    <w:p>
      <w:pPr>
        <w:pStyle w:val="Compact"/>
        <w:numPr>
          <w:ilvl w:val="0"/>
          <w:numId w:val="1003"/>
        </w:numPr>
      </w:pPr>
      <w:r>
        <w:t xml:space="preserve">Whether GlobalVision adds only reported revenue or also improves the commercial outlook for Esko’s packaging workflow.</w:t>
      </w:r>
    </w:p>
    <w:p>
      <w:pPr>
        <w:pStyle w:val="FirstParagraph"/>
      </w:pPr>
      <w:r>
        <w:t xml:space="preserve">A modest consolidated beat driven entirely by Water Quality, currency and acquisitions would be lower quality than a result showing genuine improvement in PQI.</w:t>
      </w:r>
    </w:p>
    <w:bookmarkEnd w:id="15"/>
    <w:bookmarkStart w:id="18" w:name="X0dd0c15695de40ccaf1f5ca47318e2ebb0b9db8"/>
    <w:p>
      <w:pPr>
        <w:pStyle w:val="Heading2"/>
      </w:pPr>
      <w:r>
        <w:t xml:space="preserve">Water Quality should remain the foundation</w:t>
      </w:r>
    </w:p>
    <w:p>
      <w:pPr>
        <w:pStyle w:val="FirstParagraph"/>
      </w:pPr>
      <w:r>
        <w:t xml:space="preserve">Water Quality entered Q2 with the stronger operating trajectory. Q1 sales rose 10.1%, including 3.8% core growth and contributions from the In-Situ acquisition. The segment’s adjusted margin expanded slightly despite acquisition-related dilution. (</w:t>
      </w:r>
      <w:hyperlink r:id="rId16">
        <w:r>
          <w:rPr>
            <w:rStyle w:val="Hyperlink"/>
          </w:rPr>
          <w:t xml:space="preserve">investors.veralto.com</w:t>
        </w:r>
      </w:hyperlink>
      <w:r>
        <w:t xml:space="preserve">)</w:t>
      </w:r>
    </w:p>
    <w:p>
      <w:pPr>
        <w:pStyle w:val="BodyText"/>
      </w:pPr>
      <w:r>
        <w:t xml:space="preserve">The primary items to monitor are:</w:t>
      </w:r>
    </w:p>
    <w:p>
      <w:pPr>
        <w:pStyle w:val="Compact"/>
        <w:numPr>
          <w:ilvl w:val="0"/>
          <w:numId w:val="1004"/>
        </w:numPr>
      </w:pPr>
      <w:r>
        <w:rPr>
          <w:b/>
          <w:bCs/>
        </w:rPr>
        <w:t xml:space="preserve">Municipal demand:</w:t>
      </w:r>
      <w:r>
        <w:t xml:space="preserve"> </w:t>
      </w:r>
      <w:r>
        <w:t xml:space="preserve">Veralto’s large installed base and recurring consumables and service exposure should provide stability.</w:t>
      </w:r>
    </w:p>
    <w:p>
      <w:pPr>
        <w:pStyle w:val="Compact"/>
        <w:numPr>
          <w:ilvl w:val="0"/>
          <w:numId w:val="1004"/>
        </w:numPr>
      </w:pPr>
      <w:r>
        <w:rPr>
          <w:b/>
          <w:bCs/>
        </w:rPr>
        <w:t xml:space="preserve">Industrial water:</w:t>
      </w:r>
      <w:r>
        <w:t xml:space="preserve"> </w:t>
      </w:r>
      <w:r>
        <w:t xml:space="preserve">Semiconductor, power, mining and data-center-related demand can support above-average growth, although data centers remain a relatively small component of total segment revenue.</w:t>
      </w:r>
    </w:p>
    <w:p>
      <w:pPr>
        <w:pStyle w:val="Compact"/>
        <w:numPr>
          <w:ilvl w:val="0"/>
          <w:numId w:val="1004"/>
        </w:numPr>
      </w:pPr>
      <w:r>
        <w:rPr>
          <w:b/>
          <w:bCs/>
        </w:rPr>
        <w:t xml:space="preserve">ChemTreat pricing:</w:t>
      </w:r>
      <w:r>
        <w:t xml:space="preserve"> </w:t>
      </w:r>
      <w:r>
        <w:t xml:space="preserve">Price realization must offset higher chemical, energy and logistics costs without damaging volume.</w:t>
      </w:r>
    </w:p>
    <w:p>
      <w:pPr>
        <w:pStyle w:val="Compact"/>
        <w:numPr>
          <w:ilvl w:val="0"/>
          <w:numId w:val="1004"/>
        </w:numPr>
      </w:pPr>
      <w:r>
        <w:rPr>
          <w:b/>
          <w:bCs/>
        </w:rPr>
        <w:t xml:space="preserve">China:</w:t>
      </w:r>
      <w:r>
        <w:t xml:space="preserve"> </w:t>
      </w:r>
      <w:r>
        <w:t xml:space="preserve">Municipal water funding remained soft entering the quarter, making regional commentary important.</w:t>
      </w:r>
    </w:p>
    <w:p>
      <w:pPr>
        <w:pStyle w:val="Compact"/>
        <w:numPr>
          <w:ilvl w:val="0"/>
          <w:numId w:val="1004"/>
        </w:numPr>
      </w:pPr>
      <w:r>
        <w:rPr>
          <w:b/>
          <w:bCs/>
        </w:rPr>
        <w:t xml:space="preserve">Trojan backlog:</w:t>
      </w:r>
      <w:r>
        <w:t xml:space="preserve"> </w:t>
      </w:r>
      <w:r>
        <w:t xml:space="preserve">Order and quotation activity can provide a useful read on longer-cycle UV treatment demand.</w:t>
      </w:r>
    </w:p>
    <w:p>
      <w:pPr>
        <w:pStyle w:val="FirstParagraph"/>
      </w:pPr>
      <w:r>
        <w:t xml:space="preserve">Veralto also acquired India-based Alfaa UV on July 21. The transaction occurred after the quarter, so it should not affect Q2 results, but management may discuss its potential to expand Trojan Technologies in India and elsewhere in Asia-Pacific. (</w:t>
      </w:r>
      <w:hyperlink r:id="rId17">
        <w:r>
          <w:rPr>
            <w:rStyle w:val="Hyperlink"/>
          </w:rPr>
          <w:t xml:space="preserve">investors.veralto.com</w:t>
        </w:r>
      </w:hyperlink>
      <w:r>
        <w:t xml:space="preserve">)</w:t>
      </w:r>
    </w:p>
    <w:bookmarkEnd w:id="18"/>
    <w:bookmarkStart w:id="20" w:name="margin-quality-matters-as-much-as-growth"/>
    <w:p>
      <w:pPr>
        <w:pStyle w:val="Heading2"/>
      </w:pPr>
      <w:r>
        <w:t xml:space="preserve">Margin quality matters as much as growth</w:t>
      </w:r>
    </w:p>
    <w:p>
      <w:pPr>
        <w:pStyle w:val="FirstParagraph"/>
      </w:pPr>
      <w:r>
        <w:t xml:space="preserve">Management guided to approximately</w:t>
      </w:r>
      <w:r>
        <w:t xml:space="preserve"> </w:t>
      </w:r>
      <w:r>
        <w:rPr>
          <w:b/>
          <w:bCs/>
        </w:rPr>
        <w:t xml:space="preserve">23.5% adjusted operating margin</w:t>
      </w:r>
      <w:r>
        <w:t xml:space="preserve">, essentially flat with last year. Its Q2 model assumed roughly 25 basis points of dilution from In-Situ and approximately</w:t>
      </w:r>
      <w:r>
        <w:t xml:space="preserve"> </w:t>
      </w:r>
      <m:oMath>
        <m:r>
          <m:t>25</m:t>
        </m:r>
        <m:r>
          <m:t>m</m:t>
        </m:r>
        <m:r>
          <m:t>i</m:t>
        </m:r>
        <m:r>
          <m:t>l</m:t>
        </m:r>
        <m:r>
          <m:t>l</m:t>
        </m:r>
        <m:r>
          <m:t>i</m:t>
        </m:r>
        <m:r>
          <m:t>o</m:t>
        </m:r>
        <m:r>
          <m:t>n</m:t>
        </m:r>
        <m:r>
          <m:rPr>
            <m:sty m:val="p"/>
          </m:rPr>
          <m:t>–</m:t>
        </m:r>
      </m:oMath>
      <w:r>
        <w:t xml:space="preserve">30 million of net interest expense. (</w:t>
      </w:r>
      <w:hyperlink r:id="rId16">
        <w:r>
          <w:rPr>
            <w:rStyle w:val="Hyperlink"/>
          </w:rPr>
          <w:t xml:space="preserve">investors.veralto.com</w:t>
        </w:r>
      </w:hyperlink>
      <w:r>
        <w:t xml:space="preserve">)</w:t>
      </w:r>
    </w:p>
    <w:p>
      <w:pPr>
        <w:pStyle w:val="BodyText"/>
      </w:pPr>
      <w:r>
        <w:t xml:space="preserve">Potential positives include:</w:t>
      </w:r>
    </w:p>
    <w:p>
      <w:pPr>
        <w:pStyle w:val="Compact"/>
        <w:numPr>
          <w:ilvl w:val="0"/>
          <w:numId w:val="1005"/>
        </w:numPr>
      </w:pPr>
      <w:r>
        <w:t xml:space="preserve">Pricing near the high end of Veralto’s normal range;</w:t>
      </w:r>
    </w:p>
    <w:p>
      <w:pPr>
        <w:pStyle w:val="Compact"/>
        <w:numPr>
          <w:ilvl w:val="0"/>
          <w:numId w:val="1005"/>
        </w:numPr>
      </w:pPr>
      <w:r>
        <w:t xml:space="preserve">Productivity and Veralto Enterprise System initiatives;</w:t>
      </w:r>
    </w:p>
    <w:p>
      <w:pPr>
        <w:pStyle w:val="Compact"/>
        <w:numPr>
          <w:ilvl w:val="0"/>
          <w:numId w:val="1005"/>
        </w:numPr>
      </w:pPr>
      <w:r>
        <w:t xml:space="preserve">Lower tariff-related pressure as prior-year actions begin to annualize;</w:t>
      </w:r>
    </w:p>
    <w:p>
      <w:pPr>
        <w:pStyle w:val="Compact"/>
        <w:numPr>
          <w:ilvl w:val="0"/>
          <w:numId w:val="1005"/>
        </w:numPr>
      </w:pPr>
      <w:r>
        <w:t xml:space="preserve">Better volume and mix in PQI.</w:t>
      </w:r>
    </w:p>
    <w:p>
      <w:pPr>
        <w:pStyle w:val="FirstParagraph"/>
      </w:pPr>
      <w:r>
        <w:t xml:space="preserve">Potential offsets include:</w:t>
      </w:r>
    </w:p>
    <w:p>
      <w:pPr>
        <w:pStyle w:val="Compact"/>
        <w:numPr>
          <w:ilvl w:val="0"/>
          <w:numId w:val="1006"/>
        </w:numPr>
      </w:pPr>
      <w:r>
        <w:t xml:space="preserve">In-Situ and GlobalVision integration and amortization;</w:t>
      </w:r>
    </w:p>
    <w:p>
      <w:pPr>
        <w:pStyle w:val="Compact"/>
        <w:numPr>
          <w:ilvl w:val="0"/>
          <w:numId w:val="1006"/>
        </w:numPr>
      </w:pPr>
      <w:r>
        <w:t xml:space="preserve">Unfavorable mix within PQI;</w:t>
      </w:r>
    </w:p>
    <w:p>
      <w:pPr>
        <w:pStyle w:val="Compact"/>
        <w:numPr>
          <w:ilvl w:val="0"/>
          <w:numId w:val="1006"/>
        </w:numPr>
      </w:pPr>
      <w:r>
        <w:t xml:space="preserve">Labor and chemical inflation;</w:t>
      </w:r>
    </w:p>
    <w:p>
      <w:pPr>
        <w:pStyle w:val="Compact"/>
        <w:numPr>
          <w:ilvl w:val="0"/>
          <w:numId w:val="1006"/>
        </w:numPr>
      </w:pPr>
      <w:r>
        <w:t xml:space="preserve">Higher interest expense following the issuance of $725 million of 4.85% notes due in 2032. (</w:t>
      </w:r>
      <w:hyperlink r:id="rId19">
        <w:r>
          <w:rPr>
            <w:rStyle w:val="Hyperlink"/>
          </w:rPr>
          <w:t xml:space="preserve">investors.veralto.com</w:t>
        </w:r>
      </w:hyperlink>
      <w:r>
        <w:t xml:space="preserve">)</w:t>
      </w:r>
    </w:p>
    <w:p>
      <w:pPr>
        <w:pStyle w:val="FirstParagraph"/>
      </w:pPr>
      <w:r>
        <w:t xml:space="preserve">A margin above 23.5% alongside 4%-plus core growth would be a constructive sign. Conversely, an EPS beat produced mainly through tax, share count or other below-the-line items would carry less weight.</w:t>
      </w:r>
    </w:p>
    <w:bookmarkEnd w:id="20"/>
    <w:bookmarkStart w:id="21" w:name="X131fa20a8869b171a601e269403cbe759af96f1"/>
    <w:p>
      <w:pPr>
        <w:pStyle w:val="Heading2"/>
      </w:pPr>
      <w:r>
        <w:t xml:space="preserve">Full-year guidance is the likely stock-moving item</w:t>
      </w:r>
    </w:p>
    <w:p>
      <w:pPr>
        <w:pStyle w:val="FirstParagraph"/>
      </w:pPr>
      <w:r>
        <w:t xml:space="preserve">Existing 2026 guidance calls for:</w:t>
      </w:r>
    </w:p>
    <w:p>
      <w:pPr>
        <w:pStyle w:val="Compact"/>
        <w:numPr>
          <w:ilvl w:val="0"/>
          <w:numId w:val="1007"/>
        </w:numPr>
      </w:pPr>
      <w:r>
        <w:rPr>
          <w:b/>
          <w:bCs/>
        </w:rPr>
        <w:t xml:space="preserve">Core sales growth:</w:t>
      </w:r>
      <w:r>
        <w:t xml:space="preserve"> </w:t>
      </w:r>
      <w:r>
        <w:t xml:space="preserve">3.0%–4.5%;</w:t>
      </w:r>
    </w:p>
    <w:p>
      <w:pPr>
        <w:pStyle w:val="Compact"/>
        <w:numPr>
          <w:ilvl w:val="0"/>
          <w:numId w:val="1007"/>
        </w:numPr>
      </w:pPr>
      <w:r>
        <w:rPr>
          <w:b/>
          <w:bCs/>
        </w:rPr>
        <w:t xml:space="preserve">Adjusted operating-margin expansion:</w:t>
      </w:r>
      <w:r>
        <w:t xml:space="preserve"> </w:t>
      </w:r>
      <w:r>
        <w:t xml:space="preserve">approximately 25 basis points;</w:t>
      </w:r>
    </w:p>
    <w:p>
      <w:pPr>
        <w:pStyle w:val="Compact"/>
        <w:numPr>
          <w:ilvl w:val="0"/>
          <w:numId w:val="1007"/>
        </w:numPr>
      </w:pPr>
      <w:r>
        <w:rPr>
          <w:b/>
          <w:bCs/>
        </w:rPr>
        <w:t xml:space="preserve">Adjusted EPS:</w:t>
      </w:r>
      <w:r>
        <w:t xml:space="preserve"> </w:t>
      </w:r>
      <m:oMath>
        <m:r>
          <m:t>4.20</m:t>
        </m:r>
        <m:r>
          <m:rPr>
            <m:sty m:val="p"/>
          </m:rPr>
          <m:t>–</m:t>
        </m:r>
      </m:oMath>
      <w:r>
        <w:t xml:space="preserve">4.28;</w:t>
      </w:r>
    </w:p>
    <w:p>
      <w:pPr>
        <w:pStyle w:val="Compact"/>
        <w:numPr>
          <w:ilvl w:val="0"/>
          <w:numId w:val="1007"/>
        </w:numPr>
      </w:pPr>
      <w:r>
        <w:rPr>
          <w:b/>
          <w:bCs/>
        </w:rPr>
        <w:t xml:space="preserve">Free-cash-flow conversion:</w:t>
      </w:r>
      <w:r>
        <w:t xml:space="preserve"> </w:t>
      </w:r>
      <w:r>
        <w:t xml:space="preserve">approximately 100% of GAAP net income. (</w:t>
      </w:r>
      <w:hyperlink r:id="rId14">
        <w:r>
          <w:rPr>
            <w:rStyle w:val="Hyperlink"/>
          </w:rPr>
          <w:t xml:space="preserve">investors.veralto.com</w:t>
        </w:r>
      </w:hyperlink>
      <w:r>
        <w:t xml:space="preserve">)</w:t>
      </w:r>
    </w:p>
    <w:p>
      <w:pPr>
        <w:pStyle w:val="FirstParagraph"/>
      </w:pPr>
      <w:r>
        <w:t xml:space="preserve">Following $1.07 of adjusted EPS in Q1 and roughly</w:t>
      </w:r>
      <w:r>
        <w:t xml:space="preserve"> </w:t>
      </w:r>
      <m:oMath>
        <m:r>
          <m:t>1.00</m:t>
        </m:r>
        <m:r>
          <m:t>e</m:t>
        </m:r>
        <m:r>
          <m:t>x</m:t>
        </m:r>
        <m:r>
          <m:t>p</m:t>
        </m:r>
        <m:r>
          <m:t>e</m:t>
        </m:r>
        <m:r>
          <m:t>c</m:t>
        </m:r>
        <m:r>
          <m:t>t</m:t>
        </m:r>
        <m:r>
          <m:t>e</m:t>
        </m:r>
        <m:r>
          <m:t>d</m:t>
        </m:r>
        <m:r>
          <m:t>i</m:t>
        </m:r>
        <m:r>
          <m:t>n</m:t>
        </m:r>
        <m:r>
          <m:t>Q</m:t>
        </m:r>
        <m:r>
          <m:t>2</m:t>
        </m:r>
        <m:r>
          <m:rPr>
            <m:sty m:val="p"/>
          </m:rPr>
          <m:t>,</m:t>
        </m:r>
        <m:r>
          <m:t>t</m:t>
        </m:r>
        <m:r>
          <m:t>h</m:t>
        </m:r>
        <m:r>
          <m:t>e</m:t>
        </m:r>
        <m:r>
          <m:t>m</m:t>
        </m:r>
        <m:r>
          <m:t>i</m:t>
        </m:r>
        <m:r>
          <m:t>d</m:t>
        </m:r>
        <m:r>
          <m:t>p</m:t>
        </m:r>
        <m:r>
          <m:t>o</m:t>
        </m:r>
        <m:r>
          <m:t>i</m:t>
        </m:r>
        <m:r>
          <m:t>n</m:t>
        </m:r>
        <m:r>
          <m:t>t</m:t>
        </m:r>
        <m:r>
          <m:t>o</m:t>
        </m:r>
        <m:r>
          <m:t>f</m:t>
        </m:r>
        <m:r>
          <m:t>f</m:t>
        </m:r>
        <m:r>
          <m:t>u</m:t>
        </m:r>
        <m:r>
          <m:t>l</m:t>
        </m:r>
        <m:r>
          <m:t>l</m:t>
        </m:r>
        <m:r>
          <m:rPr>
            <m:sty m:val="p"/>
          </m:rPr>
          <m:t>−</m:t>
        </m:r>
        <m:r>
          <m:t>y</m:t>
        </m:r>
        <m:r>
          <m:t>e</m:t>
        </m:r>
        <m:r>
          <m:t>a</m:t>
        </m:r>
        <m:r>
          <m:t>r</m:t>
        </m:r>
        <m:r>
          <m:t>g</m:t>
        </m:r>
        <m:r>
          <m:t>u</m:t>
        </m:r>
        <m:r>
          <m:t>i</m:t>
        </m:r>
        <m:r>
          <m:t>d</m:t>
        </m:r>
        <m:r>
          <m:t>a</m:t>
        </m:r>
        <m:r>
          <m:t>n</m:t>
        </m:r>
        <m:r>
          <m:t>c</m:t>
        </m:r>
        <m:r>
          <m:t>e</m:t>
        </m:r>
        <m:r>
          <m:t>i</m:t>
        </m:r>
        <m:r>
          <m:t>m</m:t>
        </m:r>
        <m:r>
          <m:t>p</m:t>
        </m:r>
        <m:r>
          <m:t>l</m:t>
        </m:r>
        <m:r>
          <m:t>i</m:t>
        </m:r>
        <m:r>
          <m:t>e</m:t>
        </m:r>
        <m:r>
          <m:t>s</m:t>
        </m:r>
        <m:r>
          <m:t>a</m:t>
        </m:r>
        <m:r>
          <m:t>b</m:t>
        </m:r>
        <m:r>
          <m:t>o</m:t>
        </m:r>
        <m:r>
          <m:t>u</m:t>
        </m:r>
        <m:r>
          <m:t>t</m:t>
        </m:r>
        <m:r>
          <m:rPr>
            <m:sty m:val="p"/>
          </m:rPr>
          <m:t>*</m:t>
        </m:r>
        <m:r>
          <m:rPr>
            <m:sty m:val="p"/>
          </m:rPr>
          <m:t>*</m:t>
        </m:r>
      </m:oMath>
      <w:r>
        <w:t xml:space="preserve">2.17 across the second half**, or approximately $1.09 per quarter on average. That requires further earnings acceleration.</w:t>
      </w:r>
    </w:p>
    <w:p>
      <w:pPr>
        <w:pStyle w:val="BodyText"/>
      </w:pPr>
      <w:r>
        <w:t xml:space="preserve">The most bullish outcome would be an increase in the EPS range, supported by stronger operating assumptions rather than only buybacks or taxes. An unchanged range can still be acceptable if management raises the lower end of core growth or expresses greater confidence in second-half PQI recovery. A reduction in margin or cash-flow expectations would be the clearest negative signal.</w:t>
      </w:r>
    </w:p>
    <w:bookmarkEnd w:id="21"/>
    <w:bookmarkStart w:id="22" w:name="Xd916c29bd30b36883553a2e82ab1aaecb330ede"/>
    <w:p>
      <w:pPr>
        <w:pStyle w:val="Heading2"/>
      </w:pPr>
      <w:r>
        <w:t xml:space="preserve">Cost program: important for 2027, not the Q2 beat</w:t>
      </w:r>
    </w:p>
    <w:p>
      <w:pPr>
        <w:pStyle w:val="FirstParagraph"/>
      </w:pPr>
      <w:r>
        <w:t xml:space="preserve">Veralto initiated a cost-optimization program expected to produce</w:t>
      </w:r>
      <w:r>
        <w:t xml:space="preserve"> </w:t>
      </w:r>
      <m:oMath>
        <m:r>
          <m:t>65</m:t>
        </m:r>
        <m:r>
          <m:t>m</m:t>
        </m:r>
        <m:r>
          <m:t>i</m:t>
        </m:r>
        <m:r>
          <m:t>l</m:t>
        </m:r>
        <m:r>
          <m:t>l</m:t>
        </m:r>
        <m:r>
          <m:t>i</m:t>
        </m:r>
        <m:r>
          <m:t>o</m:t>
        </m:r>
        <m:r>
          <m:t>n</m:t>
        </m:r>
        <m:r>
          <m:rPr>
            <m:sty m:val="p"/>
          </m:rPr>
          <m:t>–</m:t>
        </m:r>
      </m:oMath>
      <w:r>
        <w:rPr>
          <w:b/>
          <w:bCs/>
        </w:rPr>
        <w:t xml:space="preserve">75 million of annual run-rate savings by 2028</w:t>
      </w:r>
      <w:r>
        <w:t xml:space="preserve">, against an estimated</w:t>
      </w:r>
      <w:r>
        <w:t xml:space="preserve"> </w:t>
      </w:r>
      <m:oMath>
        <m:r>
          <m:t>85</m:t>
        </m:r>
        <m:r>
          <m:t>m</m:t>
        </m:r>
        <m:r>
          <m:t>i</m:t>
        </m:r>
        <m:r>
          <m:t>l</m:t>
        </m:r>
        <m:r>
          <m:t>l</m:t>
        </m:r>
        <m:r>
          <m:t>i</m:t>
        </m:r>
        <m:r>
          <m:t>o</m:t>
        </m:r>
        <m:r>
          <m:t>n</m:t>
        </m:r>
        <m:r>
          <m:rPr>
            <m:sty m:val="p"/>
          </m:rPr>
          <m:t>–</m:t>
        </m:r>
      </m:oMath>
      <w:r>
        <w:t xml:space="preserve">105 million GAAP charge. Management expects approximately half of the benefit in 2027 and the full benefit in 2028, with no meaningful savings embedded in 2026 guidance. (</w:t>
      </w:r>
      <w:hyperlink r:id="rId14">
        <w:r>
          <w:rPr>
            <w:rStyle w:val="Hyperlink"/>
          </w:rPr>
          <w:t xml:space="preserve">investors.veralto.com</w:t>
        </w:r>
      </w:hyperlink>
      <w:r>
        <w:t xml:space="preserve">)</w:t>
      </w:r>
    </w:p>
    <w:p>
      <w:pPr>
        <w:pStyle w:val="BodyText"/>
      </w:pPr>
      <w:r>
        <w:t xml:space="preserve">Investors should listen for:</w:t>
      </w:r>
    </w:p>
    <w:p>
      <w:pPr>
        <w:pStyle w:val="Compact"/>
        <w:numPr>
          <w:ilvl w:val="0"/>
          <w:numId w:val="1008"/>
        </w:numPr>
      </w:pPr>
      <w:r>
        <w:t xml:space="preserve">Whether implementation remains on schedule;</w:t>
      </w:r>
    </w:p>
    <w:p>
      <w:pPr>
        <w:pStyle w:val="Compact"/>
        <w:numPr>
          <w:ilvl w:val="0"/>
          <w:numId w:val="1008"/>
        </w:numPr>
      </w:pPr>
      <w:r>
        <w:t xml:space="preserve">Where the savings are concentrated, particularly within PQI;</w:t>
      </w:r>
    </w:p>
    <w:p>
      <w:pPr>
        <w:pStyle w:val="Compact"/>
        <w:numPr>
          <w:ilvl w:val="0"/>
          <w:numId w:val="1008"/>
        </w:numPr>
      </w:pPr>
      <w:r>
        <w:t xml:space="preserve">Whether the program is incremental to Veralto’s normal 30%–35% core-growth fall-through framework;</w:t>
      </w:r>
    </w:p>
    <w:p>
      <w:pPr>
        <w:pStyle w:val="Compact"/>
        <w:numPr>
          <w:ilvl w:val="0"/>
          <w:numId w:val="1008"/>
        </w:numPr>
      </w:pPr>
      <w:r>
        <w:t xml:space="preserve">Whether restructuring disrupts commercial execution.</w:t>
      </w:r>
    </w:p>
    <w:bookmarkEnd w:id="22"/>
    <w:bookmarkStart w:id="23" w:name="capital-allocation-and-balance-sheet"/>
    <w:p>
      <w:pPr>
        <w:pStyle w:val="Heading2"/>
      </w:pPr>
      <w:r>
        <w:t xml:space="preserve">Capital allocation and balance sheet</w:t>
      </w:r>
    </w:p>
    <w:p>
      <w:pPr>
        <w:pStyle w:val="FirstParagraph"/>
      </w:pPr>
      <w:r>
        <w:t xml:space="preserve">Veralto entered the year aggressively: it spent approximately $622 million on In-Situ and GlobalVision and repurchased $300 million of stock. It subsequently raised approximately $721 million of net proceeds through the 2032 notes offering. (</w:t>
      </w:r>
      <w:hyperlink r:id="rId14">
        <w:r>
          <w:rPr>
            <w:rStyle w:val="Hyperlink"/>
          </w:rPr>
          <w:t xml:space="preserve">investors.veralto.com</w:t>
        </w:r>
      </w:hyperlink>
      <w:r>
        <w:t xml:space="preserve">)</w:t>
      </w:r>
    </w:p>
    <w:p>
      <w:pPr>
        <w:pStyle w:val="BodyText"/>
      </w:pPr>
      <w:r>
        <w:t xml:space="preserve">Questions for management include:</w:t>
      </w:r>
    </w:p>
    <w:p>
      <w:pPr>
        <w:pStyle w:val="Compact"/>
        <w:numPr>
          <w:ilvl w:val="0"/>
          <w:numId w:val="1009"/>
        </w:numPr>
      </w:pPr>
      <w:r>
        <w:t xml:space="preserve">How much of the debt issuance will refinance maturities versus support additional M&amp;A;</w:t>
      </w:r>
    </w:p>
    <w:p>
      <w:pPr>
        <w:pStyle w:val="Compact"/>
        <w:numPr>
          <w:ilvl w:val="0"/>
          <w:numId w:val="1009"/>
        </w:numPr>
      </w:pPr>
      <w:r>
        <w:t xml:space="preserve">Whether integration of In-Situ and GlobalVision is progressing as planned;</w:t>
      </w:r>
    </w:p>
    <w:p>
      <w:pPr>
        <w:pStyle w:val="Compact"/>
        <w:numPr>
          <w:ilvl w:val="0"/>
          <w:numId w:val="1009"/>
        </w:numPr>
      </w:pPr>
      <w:r>
        <w:t xml:space="preserve">Whether share repurchases remain attractive around the current valuation;</w:t>
      </w:r>
    </w:p>
    <w:p>
      <w:pPr>
        <w:pStyle w:val="Compact"/>
        <w:numPr>
          <w:ilvl w:val="0"/>
          <w:numId w:val="1009"/>
        </w:numPr>
      </w:pPr>
      <w:r>
        <w:t xml:space="preserve">The size and timing of the acquisition pipeline.</w:t>
      </w:r>
    </w:p>
    <w:p>
      <w:pPr>
        <w:pStyle w:val="FirstParagraph"/>
      </w:pPr>
      <w:r>
        <w:t xml:space="preserve">Further acquisitions could extend the growth runway, but investors should watch leverage, interest expense and integration complexity.</w:t>
      </w:r>
    </w:p>
    <w:bookmarkEnd w:id="23"/>
    <w:bookmarkStart w:id="24" w:name="scenario-framework"/>
    <w:p>
      <w:pPr>
        <w:pStyle w:val="Heading2"/>
      </w:pPr>
      <w:r>
        <w:t xml:space="preserve">Scenario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What it likely looks like</w:t>
            </w:r>
          </w:p>
        </w:tc>
      </w:tr>
      <w:tr>
        <w:tc>
          <w:tcPr/>
          <w:p>
            <w:pPr>
              <w:pStyle w:val="Compact"/>
            </w:pPr>
            <w:r>
              <w:rPr>
                <w:b/>
                <w:bCs/>
              </w:rPr>
              <w:t xml:space="preserve">Bullish</w:t>
            </w:r>
          </w:p>
        </w:tc>
        <w:tc>
          <w:tcPr/>
          <w:p>
            <w:pPr>
              <w:pStyle w:val="Compact"/>
            </w:pPr>
            <w:r>
              <w:t xml:space="preserve">Core growth above 4%; PQI returns to growth; margin exceeds 23.5%; EPS beats</w:t>
            </w:r>
            <w:r>
              <w:t xml:space="preserve"> </w:t>
            </w:r>
            <m:oMath>
              <m:r>
                <m:t>1.00</m:t>
              </m:r>
              <m:r>
                <m:rPr>
                  <m:sty m:val="p"/>
                </m:rPr>
                <m:t>–</m:t>
              </m:r>
            </m:oMath>
            <w:r>
              <w:t xml:space="preserve">1.01; full-year EPS or core-growth guidance rises.</w:t>
            </w:r>
          </w:p>
        </w:tc>
      </w:tr>
      <w:tr>
        <w:tc>
          <w:tcPr/>
          <w:p>
            <w:pPr>
              <w:pStyle w:val="Compact"/>
            </w:pPr>
            <w:r>
              <w:rPr>
                <w:b/>
                <w:bCs/>
              </w:rPr>
              <w:t xml:space="preserve">Base case</w:t>
            </w:r>
          </w:p>
        </w:tc>
        <w:tc>
          <w:tcPr/>
          <w:p>
            <w:pPr>
              <w:pStyle w:val="Compact"/>
            </w:pPr>
            <w:r>
              <w:t xml:space="preserve">Core growth within 3%–4%; EPS around $1.00; margin near 23.5%; full-year guidance reiterated or modestly narrowed.</w:t>
            </w:r>
          </w:p>
        </w:tc>
      </w:tr>
      <w:tr>
        <w:tc>
          <w:tcPr/>
          <w:p>
            <w:pPr>
              <w:pStyle w:val="Compact"/>
            </w:pPr>
            <w:r>
              <w:rPr>
                <w:b/>
                <w:bCs/>
              </w:rPr>
              <w:t xml:space="preserve">Bearish</w:t>
            </w:r>
          </w:p>
        </w:tc>
        <w:tc>
          <w:tcPr/>
          <w:p>
            <w:pPr>
              <w:pStyle w:val="Compact"/>
            </w:pPr>
            <w:r>
              <w:t xml:space="preserve">Core growth below 3%; PQI remains meaningfully negative; margin misses; management becomes less confident in second-half acceleration or trims guidance.</w:t>
            </w:r>
          </w:p>
        </w:tc>
      </w:tr>
    </w:tbl>
    <w:bookmarkEnd w:id="24"/>
    <w:bookmarkStart w:id="26" w:name="bottom-line"/>
    <w:p>
      <w:pPr>
        <w:pStyle w:val="Heading2"/>
      </w:pPr>
      <w:r>
        <w:t xml:space="preserve">Bottom line</w:t>
      </w:r>
    </w:p>
    <w:p>
      <w:pPr>
        <w:pStyle w:val="FirstParagraph"/>
      </w:pPr>
      <w:r>
        <w:t xml:space="preserve">Veralto’s defensive end markets, roughly 60% recurring sales mix and strong cash generation remain attractive. But this report needs to demonstrate that Q1’s 1.9% core growth was a temporary low point rather than the beginning of a softer growth phase. (</w:t>
      </w:r>
      <w:hyperlink r:id="rId25">
        <w:r>
          <w:rPr>
            <w:rStyle w:val="Hyperlink"/>
          </w:rPr>
          <w:t xml:space="preserve">investors.veralto.com</w:t>
        </w:r>
      </w:hyperlink>
      <w:r>
        <w:t xml:space="preserve">)</w:t>
      </w:r>
    </w:p>
    <w:p>
      <w:pPr>
        <w:pStyle w:val="BodyText"/>
      </w:pPr>
      <w:r>
        <w:rPr>
          <w:b/>
          <w:bCs/>
        </w:rPr>
        <w:t xml:space="preserve">The two numbers that matter most are PQI core growth and the updated full-year EPS range.</w:t>
      </w:r>
      <w:r>
        <w:t xml:space="preserve"> </w:t>
      </w:r>
      <w:r>
        <w:t xml:space="preserve">A routine EPS beat accompanied by continued PQI weakness and unchanged guidance would be less compelling. A credible PQI inflection, solid margin execution and a guidance increase would validate the company’s acceleration thesis and provide the strongest positive catalyst.</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investors.veralto.com/2026-04-28-Veralto-Reports-First-Quarter-2026-Results" TargetMode="External" /><Relationship Type="http://schemas.openxmlformats.org/officeDocument/2006/relationships/hyperlink" Id="rId19" Target="https://investors.veralto.com/2026-05-27-Veralto-Announces-Pricing-of-Senior-Notes-Offering" TargetMode="External" /><Relationship Type="http://schemas.openxmlformats.org/officeDocument/2006/relationships/hyperlink" Id="rId9" Target="https://investors.veralto.com/2026-07-13-Veralto-Schedules-Second-Quarter-2026-Earnings-Call" TargetMode="External" /><Relationship Type="http://schemas.openxmlformats.org/officeDocument/2006/relationships/hyperlink" Id="rId17" Target="https://investors.veralto.com/2026-07-21-Veralto-Acquires-Alfaa-UV-to-Expand-Ultraviolet-Water-Treatment-Portfolio" TargetMode="External" /><Relationship Type="http://schemas.openxmlformats.org/officeDocument/2006/relationships/hyperlink" Id="rId25" Target="https://investors.veralto.com/?trk=public_post-text" TargetMode="External" /><Relationship Type="http://schemas.openxmlformats.org/officeDocument/2006/relationships/hyperlink" Id="rId16" Target="https://investors.veralto.com/image/VLTO_1Q26_Earnings_Slide_Presentation.pdf" TargetMode="External" /><Relationship Type="http://schemas.openxmlformats.org/officeDocument/2006/relationships/hyperlink" Id="rId12" Target="https://www.barchart.com/stocks/quotes/vlto/earnings-estimates?utm_source=openai" TargetMode="External" /><Relationship Type="http://schemas.openxmlformats.org/officeDocument/2006/relationships/hyperlink" Id="rId10" Target="https://www.benzinga.com/quote/VLTO/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investors.veralto.com/2026-04-28-Veralto-Reports-First-Quarter-2026-Results" TargetMode="External" /><Relationship Type="http://schemas.openxmlformats.org/officeDocument/2006/relationships/hyperlink" Id="rId19" Target="https://investors.veralto.com/2026-05-27-Veralto-Announces-Pricing-of-Senior-Notes-Offering" TargetMode="External" /><Relationship Type="http://schemas.openxmlformats.org/officeDocument/2006/relationships/hyperlink" Id="rId9" Target="https://investors.veralto.com/2026-07-13-Veralto-Schedules-Second-Quarter-2026-Earnings-Call" TargetMode="External" /><Relationship Type="http://schemas.openxmlformats.org/officeDocument/2006/relationships/hyperlink" Id="rId17" Target="https://investors.veralto.com/2026-07-21-Veralto-Acquires-Alfaa-UV-to-Expand-Ultraviolet-Water-Treatment-Portfolio" TargetMode="External" /><Relationship Type="http://schemas.openxmlformats.org/officeDocument/2006/relationships/hyperlink" Id="rId25" Target="https://investors.veralto.com/?trk=public_post-text" TargetMode="External" /><Relationship Type="http://schemas.openxmlformats.org/officeDocument/2006/relationships/hyperlink" Id="rId16" Target="https://investors.veralto.com/image/VLTO_1Q26_Earnings_Slide_Presentation.pdf" TargetMode="External" /><Relationship Type="http://schemas.openxmlformats.org/officeDocument/2006/relationships/hyperlink" Id="rId12" Target="https://www.barchart.com/stocks/quotes/vlto/earnings-estimates?utm_source=openai" TargetMode="External" /><Relationship Type="http://schemas.openxmlformats.org/officeDocument/2006/relationships/hyperlink" Id="rId10" Target="https://www.benzinga.com/quote/VLTO/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2026-07-28T01:43:23Z</dcterms:created>
  <dcterms:modified xsi:type="dcterms:W3CDTF">2026-07-28T01:43:23Z</dcterms:modified>
</cp:coreProperties>
</file>

<file path=docProps/custom.xml><?xml version="1.0" encoding="utf-8"?>
<Properties xmlns="http://schemas.openxmlformats.org/officeDocument/2006/custom-properties" xmlns:vt="http://schemas.openxmlformats.org/officeDocument/2006/docPropsVTypes"/>
</file>