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lto-earnings-predictions--2026-07-28"/>
    <w:p>
      <w:pPr>
        <w:pStyle w:val="Heading1"/>
      </w:pPr>
      <w:r>
        <w:t xml:space="preserve">VLTO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~$1.02 vs. cons $1.00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~$1.45B vs. cons $1.44B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~4.1% vs. cons 4.0%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~$4.24 midpoint vs. cons $4.25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core sales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~3.75% midpoint vs. cons 3.8%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operating-margin expansion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~25 bps vs. cons 25 bps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 modest ~</w:t>
            </w:r>
            <m:oMath>
              <m:r>
                <m:t>0.02</m:t>
              </m:r>
              <m:r>
                <m:t>E</m:t>
              </m:r>
              <m:r>
                <m:t>P</m:t>
              </m:r>
              <m:r>
                <m:t>S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  <m:r>
                <m:t>10</m:t>
              </m:r>
              <m:r>
                <m:t>b</m:t>
              </m:r>
              <m:r>
                <m:t>p</m:t>
              </m:r>
              <m:r>
                <m:t>s</m:t>
              </m:r>
              <m:r>
                <m:t>c</m:t>
              </m:r>
              <m:r>
                <m:t>o</m:t>
              </m:r>
              <m:r>
                <m:t>r</m:t>
              </m:r>
              <m:r>
                <m:t>e</m:t>
              </m:r>
              <m:r>
                <m:rPr>
                  <m:sty m:val="p"/>
                </m:rPr>
                <m:t>−</m:t>
              </m:r>
              <m:r>
                <m:t>g</m:t>
              </m:r>
              <m:r>
                <m:t>r</m:t>
              </m:r>
              <m:r>
                <m:t>o</m:t>
              </m:r>
              <m:r>
                <m:t>w</m:t>
              </m:r>
              <m:r>
                <m:t>t</m:t>
              </m:r>
              <m:r>
                <m:t>h</m:t>
              </m:r>
              <m:r>
                <m:t>u</m:t>
              </m:r>
              <m:r>
                <m:t>p</m:t>
              </m:r>
              <m:r>
                <m:t>s</m:t>
              </m:r>
              <m:r>
                <m:t>i</m:t>
              </m:r>
              <m:r>
                <m:t>d</m:t>
              </m:r>
              <m:r>
                <m:t>e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a</m:t>
              </m:r>
              <m:r>
                <m:t>n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p</m:t>
              </m:r>
              <m:r>
                <m:t>o</m:t>
              </m:r>
              <m:r>
                <m:t>s</m:t>
              </m:r>
              <m:r>
                <m:t>i</m:t>
              </m:r>
              <m:r>
                <m:t>t</m:t>
              </m:r>
              <m:r>
                <m:t>i</m:t>
              </m:r>
              <m:r>
                <m:t>v</m:t>
              </m:r>
              <m:r>
                <m:t>e</m:t>
              </m:r>
              <m:r>
                <m:t>r</m:t>
              </m:r>
              <m:r>
                <m:t>e</m:t>
              </m:r>
              <m:r>
                <m:t>s</m:t>
              </m:r>
              <m:r>
                <m:t>p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26</m:t>
              </m:r>
              <m:r>
                <m:t>E</m:t>
              </m:r>
              <m:r>
                <m:t>P</m:t>
              </m:r>
              <m:r>
                <m:t>S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4.24 versus ~$4.25 consensus leaves limited out-period revision upside; implied second-half EPS remains ~ $2.10 versus ~ $2.12 expected.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2026-07-28T01:42:25Z</dcterms:created>
  <dcterms:modified xsi:type="dcterms:W3CDTF">2026-07-28T01:42:25Z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