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veralto-nyse-vlto--2q26-earnings-preview"/>
    <w:p>
      <w:pPr>
        <w:pStyle w:val="Heading1"/>
      </w:pPr>
      <w:r>
        <w:t xml:space="preserve">Veralto (NYSE: VLTO) — 2Q26 Earnings Preview</w:t>
      </w:r>
    </w:p>
    <w:p>
      <w:pPr>
        <w:pStyle w:val="BlockText"/>
      </w:pPr>
      <w:r>
        <w:rPr>
          <w:b/>
          <w:bCs/>
        </w:rPr>
        <w:t xml:space="preserve">Timing correction:</w:t>
      </w:r>
      <w:r>
        <w:t xml:space="preserve"> </w:t>
      </w:r>
      <w:r>
        <w:t xml:space="preserve">Veralto is scheduled to release 2Q26 results</w:t>
      </w:r>
      <w:r>
        <w:t xml:space="preserve"> </w:t>
      </w:r>
      <w:r>
        <w:rPr>
          <w:b/>
          <w:bCs/>
        </w:rPr>
        <w:t xml:space="preserve">after the close on Tuesday, July 28, 2026</w:t>
      </w:r>
      <w:r>
        <w:t xml:space="preserve">, with the earnings call at</w:t>
      </w:r>
      <w:r>
        <w:t xml:space="preserve"> </w:t>
      </w:r>
      <w:r>
        <w:rPr>
          <w:b/>
          <w:bCs/>
        </w:rPr>
        <w:t xml:space="preserve">7:30 a.m. ET on Wednesday, July 29</w:t>
      </w:r>
      <w:r>
        <w:t xml:space="preserve">—not tomorrow.</w:t>
      </w:r>
    </w:p>
    <w:bookmarkStart w:id="9" w:name="X16133ed2095aed5096c6d5589e1939cc521fe3b"/>
    <w:p>
      <w:pPr>
        <w:pStyle w:val="Heading2"/>
      </w:pPr>
      <w:r>
        <w:t xml:space="preserve">Investment view: execution against a deliberately conservative 2Q setup</w:t>
      </w:r>
    </w:p>
    <w:p>
      <w:pPr>
        <w:pStyle w:val="FirstParagraph"/>
      </w:pPr>
      <w:r>
        <w:t xml:space="preserve">Veralto enters 2Q with a relatively clear company-set bar:</w:t>
      </w:r>
      <w:r>
        <w:t xml:space="preserve"> </w:t>
      </w:r>
      <w:r>
        <w:rPr>
          <w:b/>
          <w:bCs/>
        </w:rPr>
        <w:t xml:space="preserve">3%–4% core sales growth, ~23.5% adjusted operating margin, and adjusted EPS of</w:t>
      </w:r>
      <w:r>
        <w:rPr>
          <w:b/>
          <w:bCs/>
        </w:rPr>
        <w:t xml:space="preserve"> </w:t>
      </w:r>
      <m:oMath>
        <m:r>
          <m:t>0.96</m:t>
        </m:r>
        <m:r>
          <m:rPr>
            <m:sty m:val="p"/>
          </m:rPr>
          <m:t>–</m:t>
        </m:r>
      </m:oMath>
      <w:r>
        <w:rPr>
          <w:b/>
          <w:bCs/>
        </w:rPr>
        <w:t xml:space="preserve">1.00</w:t>
      </w:r>
      <w:r>
        <w:t xml:space="preserve">. The key for investors will be less the reported headline and more whether management validates its expectation for</w:t>
      </w:r>
      <w:r>
        <w:t xml:space="preserve"> </w:t>
      </w:r>
      <w:r>
        <w:rPr>
          <w:b/>
          <w:bCs/>
        </w:rPr>
        <w:t xml:space="preserve">accelerating organic growth through the second half</w:t>
      </w:r>
      <w:r>
        <w:t xml:space="preserve"> </w:t>
      </w:r>
      <w:r>
        <w:t xml:space="preserve">while maintaining the recently increased full-year EPS outlook of</w:t>
      </w:r>
      <w:r>
        <w:t xml:space="preserve"> </w:t>
      </w:r>
      <m:oMath>
        <m:r>
          <m:t>4.20</m:t>
        </m:r>
        <m:r>
          <m:rPr>
            <m:sty m:val="p"/>
          </m:rPr>
          <m:t>–</m:t>
        </m:r>
      </m:oMath>
      <w:r>
        <w:rPr>
          <w:b/>
          <w:bCs/>
        </w:rPr>
        <w:t xml:space="preserve">4.28</w:t>
      </w:r>
      <w:r>
        <w:t xml:space="preserve">.</w:t>
      </w:r>
    </w:p>
    <w:p>
      <w:pPr>
        <w:pStyle w:val="BodyText"/>
      </w:pPr>
      <w:r>
        <w:t xml:space="preserve">The setup is constructive but not effortless. Water Quality has been performing well on resilient municipal, industrial, and recurring-revenue demand, while Product Quality &amp; Innovation (PQI) exited 1Q with weaker results in certain discrete industrial equipment categories. The report should clarify whether that weakness was genuinely transient and whether the company’s pricing, productivity, acquisitions, and second-half volume outlook can support the full-year framework.</w:t>
      </w:r>
    </w:p>
    <w:p>
      <w:pPr>
        <w:pStyle w:val="BodyText"/>
      </w:pPr>
      <w:r>
        <w:t xml:space="preserve">VLTO closed at</w:t>
      </w:r>
      <w:r>
        <w:t xml:space="preserve"> </w:t>
      </w:r>
      <w:r>
        <w:rPr>
          <w:b/>
          <w:bCs/>
        </w:rPr>
        <w:t xml:space="preserve">$94.30 on July 27</w:t>
      </w:r>
      <w:r>
        <w:t xml:space="preserve">, up roughly</w:t>
      </w:r>
      <w:r>
        <w:t xml:space="preserve"> </w:t>
      </w:r>
      <w:r>
        <w:rPr>
          <w:b/>
          <w:bCs/>
        </w:rPr>
        <w:t xml:space="preserve">10%</w:t>
      </w:r>
      <w:r>
        <w:t xml:space="preserve"> </w:t>
      </w:r>
      <w:r>
        <w:t xml:space="preserve">from its April 28 close, so a simple in-line quarter without stronger evidence of second-half acceleration may not be enough to drive a positive reaction.</w:t>
      </w:r>
    </w:p>
    <w:p>
      <w:r>
        <w:pict>
          <v:rect style="width:0;height:1.5pt" o:hralign="center" o:hrstd="t" o:hr="t"/>
        </w:pict>
      </w:r>
    </w:p>
    <w:bookmarkEnd w:id="9"/>
    <w:bookmarkStart w:id="10" w:name="X84f4bb85df1196b00d2e763d0d1557d17e3795d"/>
    <w:p>
      <w:pPr>
        <w:pStyle w:val="Heading2"/>
      </w:pPr>
      <w:r>
        <w:t xml:space="preserve">The scorecard: what Veralto has to deliver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jc w:val="right"/>
            </w:pPr>
            <w:r>
              <w:t xml:space="preserve">2Q25 actual</w:t>
            </w:r>
          </w:p>
        </w:tc>
        <w:tc>
          <w:tcPr/>
          <w:p>
            <w:pPr>
              <w:pStyle w:val="Compact"/>
            </w:pPr>
            <w:r>
              <w:t xml:space="preserve">Investor read-through</w:t>
            </w:r>
          </w:p>
        </w:tc>
      </w:tr>
      <w:tr>
        <w:tc>
          <w:tcPr/>
          <w:p>
            <w:pPr>
              <w:pStyle w:val="Compact"/>
            </w:pPr>
            <w:r>
              <w:t xml:space="preserve">Core sales growth</w:t>
            </w:r>
          </w:p>
        </w:tc>
        <w:tc>
          <w:tcPr/>
          <w:p>
            <w:pPr>
              <w:pStyle w:val="Compact"/>
              <w:jc w:val="right"/>
            </w:pPr>
            <w:r>
              <w:rPr>
                <w:b/>
                <w:bCs/>
              </w:rPr>
              <w:t xml:space="preserve">+3% to +4%</w:t>
            </w:r>
          </w:p>
        </w:tc>
        <w:tc>
          <w:tcPr/>
          <w:p>
            <w:pPr>
              <w:pStyle w:val="Compact"/>
              <w:jc w:val="right"/>
            </w:pPr>
            <w:r>
              <w:rPr>
                <w:b/>
                <w:bCs/>
              </w:rPr>
              <w:t xml:space="preserve">+4.8%</w:t>
            </w:r>
          </w:p>
        </w:tc>
        <w:tc>
          <w:tcPr/>
          <w:p>
            <w:pPr>
              <w:pStyle w:val="Compact"/>
            </w:pPr>
            <w:r>
              <w:t xml:space="preserve">A result near the high end would support management’s “acceleration through the year” narrative.</w:t>
            </w:r>
          </w:p>
        </w:tc>
      </w:tr>
      <w:tr>
        <w:tc>
          <w:tcPr/>
          <w:p>
            <w:pPr>
              <w:pStyle w:val="Compact"/>
            </w:pPr>
            <w:r>
              <w:t xml:space="preserve">Adjusted operating margin</w:t>
            </w:r>
          </w:p>
        </w:tc>
        <w:tc>
          <w:tcPr/>
          <w:p>
            <w:pPr>
              <w:pStyle w:val="Compact"/>
              <w:jc w:val="right"/>
            </w:pPr>
            <w:r>
              <w:rPr>
                <w:b/>
                <w:bCs/>
              </w:rPr>
              <w:t xml:space="preserve">~23.5%</w:t>
            </w:r>
          </w:p>
        </w:tc>
        <w:tc>
          <w:tcPr/>
          <w:p>
            <w:pPr>
              <w:pStyle w:val="Compact"/>
              <w:jc w:val="right"/>
            </w:pPr>
            <w:r>
              <w:rPr>
                <w:b/>
                <w:bCs/>
              </w:rPr>
              <w:t xml:space="preserve">23.7%</w:t>
            </w:r>
          </w:p>
        </w:tc>
        <w:tc>
          <w:tcPr/>
          <w:p>
            <w:pPr>
              <w:pStyle w:val="Compact"/>
            </w:pPr>
            <w:r>
              <w:t xml:space="preserve">A modest year-over-year decline is embedded; investors will focus on the underlying drivers and exit rate.</w:t>
            </w:r>
          </w:p>
        </w:tc>
      </w:tr>
      <w:tr>
        <w:tc>
          <w:tcPr/>
          <w:p>
            <w:pPr>
              <w:pStyle w:val="Compact"/>
            </w:pPr>
            <w:r>
              <w:t xml:space="preserve">Adjusted EPS</w:t>
            </w:r>
          </w:p>
        </w:tc>
        <w:tc>
          <w:tcPr/>
          <w:p>
            <w:pPr>
              <w:pStyle w:val="Compact"/>
              <w:jc w:val="right"/>
            </w:pPr>
            <m:oMath>
              <m:r>
                <m:t>0.96</m:t>
              </m:r>
              <m:r>
                <m:rPr>
                  <m:sty m:val="p"/>
                </m:rPr>
                <m:t>–</m:t>
              </m:r>
            </m:oMath>
            <w:r>
              <w:rPr>
                <w:b/>
                <w:bCs/>
              </w:rPr>
              <w:t xml:space="preserve">1.00</w:t>
            </w:r>
          </w:p>
        </w:tc>
        <w:tc>
          <w:tcPr/>
          <w:p>
            <w:pPr>
              <w:pStyle w:val="Compact"/>
              <w:jc w:val="right"/>
            </w:pPr>
            <w:r>
              <w:rPr>
                <w:b/>
                <w:bCs/>
              </w:rPr>
              <w:t xml:space="preserve">$0.93</w:t>
            </w:r>
          </w:p>
        </w:tc>
        <w:tc>
          <w:tcPr/>
          <w:p>
            <w:pPr>
              <w:pStyle w:val="Compact"/>
            </w:pPr>
            <w:r>
              <w:t xml:space="preserve">The midpoint implies ~5% growth year over year.</w:t>
            </w:r>
          </w:p>
        </w:tc>
      </w:tr>
      <w:tr>
        <w:tc>
          <w:tcPr/>
          <w:p>
            <w:pPr>
              <w:pStyle w:val="Compact"/>
            </w:pPr>
            <w:r>
              <w:t xml:space="preserve">Full-year adjusted EPS</w:t>
            </w:r>
          </w:p>
        </w:tc>
        <w:tc>
          <w:tcPr/>
          <w:p>
            <w:pPr>
              <w:pStyle w:val="Compact"/>
              <w:jc w:val="right"/>
            </w:pPr>
            <m:oMath>
              <m:r>
                <m:t>4.20</m:t>
              </m:r>
              <m:r>
                <m:rPr>
                  <m:sty m:val="p"/>
                </m:rPr>
                <m:t>–</m:t>
              </m:r>
            </m:oMath>
            <w:r>
              <w:rPr>
                <w:b/>
                <w:bCs/>
              </w:rPr>
              <w:t xml:space="preserve">4.28</w:t>
            </w:r>
          </w:p>
        </w:tc>
        <w:tc>
          <w:tcPr/>
          <w:p>
            <w:pPr>
              <w:pStyle w:val="Compact"/>
              <w:jc w:val="right"/>
            </w:pPr>
            <w:r>
              <w:t xml:space="preserve">N/A</w:t>
            </w:r>
          </w:p>
        </w:tc>
        <w:tc>
          <w:tcPr/>
          <w:p>
            <w:pPr>
              <w:pStyle w:val="Compact"/>
            </w:pPr>
            <w:r>
              <w:t xml:space="preserve">Reaffirmation is the minimum expectation after the 1Q raise; another raise would be a clear positive.</w:t>
            </w:r>
          </w:p>
        </w:tc>
      </w:tr>
      <w:tr>
        <w:tc>
          <w:tcPr/>
          <w:p>
            <w:pPr>
              <w:pStyle w:val="Compact"/>
            </w:pPr>
            <w:r>
              <w:t xml:space="preserve">Full-year core growth</w:t>
            </w:r>
          </w:p>
        </w:tc>
        <w:tc>
          <w:tcPr/>
          <w:p>
            <w:pPr>
              <w:pStyle w:val="Compact"/>
              <w:jc w:val="right"/>
            </w:pPr>
            <w:r>
              <w:rPr>
                <w:b/>
                <w:bCs/>
              </w:rPr>
              <w:t xml:space="preserve">+3% to +4.5%</w:t>
            </w:r>
          </w:p>
        </w:tc>
        <w:tc>
          <w:tcPr/>
          <w:p>
            <w:pPr>
              <w:pStyle w:val="Compact"/>
              <w:jc w:val="right"/>
            </w:pPr>
            <w:r>
              <w:t xml:space="preserve">N/A</w:t>
            </w:r>
          </w:p>
        </w:tc>
        <w:tc>
          <w:tcPr/>
          <w:p>
            <w:pPr>
              <w:pStyle w:val="Compact"/>
            </w:pPr>
            <w:r>
              <w:t xml:space="preserve">Commentary around 3Q/4Q cadence may matter as much as the formal range.</w:t>
            </w:r>
          </w:p>
        </w:tc>
      </w:tr>
      <w:tr>
        <w:tc>
          <w:tcPr/>
          <w:p>
            <w:pPr>
              <w:pStyle w:val="Compact"/>
            </w:pPr>
            <w:r>
              <w:t xml:space="preserve">Free-cash-flow conversion</w:t>
            </w:r>
          </w:p>
        </w:tc>
        <w:tc>
          <w:tcPr/>
          <w:p>
            <w:pPr>
              <w:pStyle w:val="Compact"/>
              <w:jc w:val="right"/>
            </w:pPr>
            <w:r>
              <w:rPr>
                <w:b/>
                <w:bCs/>
              </w:rPr>
              <w:t xml:space="preserve">~100% of GAAP net income</w:t>
            </w:r>
          </w:p>
        </w:tc>
        <w:tc>
          <w:tcPr/>
          <w:p>
            <w:pPr>
              <w:pStyle w:val="Compact"/>
              <w:jc w:val="right"/>
            </w:pPr>
            <w:r>
              <w:t xml:space="preserve">N/A</w:t>
            </w:r>
          </w:p>
        </w:tc>
        <w:tc>
          <w:tcPr/>
          <w:p>
            <w:pPr>
              <w:pStyle w:val="Compact"/>
            </w:pPr>
            <w:r>
              <w:t xml:space="preserve">Important confirmation of balance-sheet capacity for M&amp;A, buybacks, and debt management.</w:t>
            </w:r>
          </w:p>
        </w:tc>
      </w:tr>
    </w:tbl>
    <w:p>
      <w:pPr>
        <w:pStyle w:val="BodyText"/>
      </w:pPr>
      <w:r>
        <w:rPr>
          <w:b/>
          <w:bCs/>
        </w:rPr>
        <w:t xml:space="preserve">Important comparison point:</w:t>
      </w:r>
      <w:r>
        <w:t xml:space="preserve"> </w:t>
      </w:r>
      <w:r>
        <w:t xml:space="preserve">2Q25 was strong: sales rose 6.4% to $1.37 billion, core sales grew 4.8%, adjusted operating margin was 23.7%, and adjusted EPS was $0.93. That creates a respectable organic-growth comparison even though 2026 benefits from the In-Situ and GlobalVision acquisitions in reported results.</w:t>
      </w:r>
    </w:p>
    <w:p>
      <w:r>
        <w:pict>
          <v:rect style="width:0;height:1.5pt" o:hralign="center" o:hrstd="t" o:hr="t"/>
        </w:pict>
      </w:r>
    </w:p>
    <w:bookmarkEnd w:id="10"/>
    <w:bookmarkStart w:id="15" w:name="what-matters-most-in-the-quarter"/>
    <w:p>
      <w:pPr>
        <w:pStyle w:val="Heading2"/>
      </w:pPr>
      <w:r>
        <w:t xml:space="preserve">What matters most in the quarter</w:t>
      </w:r>
    </w:p>
    <w:bookmarkStart w:id="11" w:name="Xc825b48b4b2e1dd47519635f34ae70738066aec"/>
    <w:p>
      <w:pPr>
        <w:pStyle w:val="Heading3"/>
      </w:pPr>
      <w:r>
        <w:t xml:space="preserve">1. Water Quality needs to remain the stabilizer</w:t>
      </w:r>
    </w:p>
    <w:p>
      <w:pPr>
        <w:pStyle w:val="FirstParagraph"/>
      </w:pPr>
      <w:r>
        <w:t xml:space="preserve">Water Quality delivered</w:t>
      </w:r>
      <w:r>
        <w:t xml:space="preserve"> </w:t>
      </w:r>
      <w:r>
        <w:rPr>
          <w:b/>
          <w:bCs/>
        </w:rPr>
        <w:t xml:space="preserve">3.8% core growth in 1Q</w:t>
      </w:r>
      <w:r>
        <w:t xml:space="preserve">, driven by solid municipal and industrial demand. Management described municipal demand as steady, industrial growth as mid- to high-single-digit, and cited favorable exposure to secular spending on water reuse, recycling, semiconductor production, power, mining, and data centers.</w:t>
      </w:r>
    </w:p>
    <w:p>
      <w:pPr>
        <w:pStyle w:val="BodyText"/>
      </w:pPr>
      <w:r>
        <w:t xml:space="preserve">For 2Q, investors should watch:</w:t>
      </w:r>
    </w:p>
    <w:p>
      <w:pPr>
        <w:pStyle w:val="Compact"/>
        <w:numPr>
          <w:ilvl w:val="0"/>
          <w:numId w:val="1001"/>
        </w:numPr>
      </w:pPr>
      <w:r>
        <w:rPr>
          <w:b/>
          <w:bCs/>
        </w:rPr>
        <w:t xml:space="preserve">Hach / analytics demand:</w:t>
      </w:r>
      <w:r>
        <w:t xml:space="preserve"> </w:t>
      </w:r>
      <w:r>
        <w:t xml:space="preserve">A steady municipal operating-spend backdrop would reinforce the durability of the franchise.</w:t>
      </w:r>
    </w:p>
    <w:p>
      <w:pPr>
        <w:pStyle w:val="Compact"/>
        <w:numPr>
          <w:ilvl w:val="0"/>
          <w:numId w:val="1001"/>
        </w:numPr>
      </w:pPr>
      <w:r>
        <w:rPr>
          <w:b/>
          <w:bCs/>
        </w:rPr>
        <w:t xml:space="preserve">ChemTreat:</w:t>
      </w:r>
      <w:r>
        <w:t xml:space="preserve"> </w:t>
      </w:r>
      <w:r>
        <w:t xml:space="preserve">Price realization versus commodity and chemical-input inflation is important. Management has emphasized disciplined, customer-specific pricing rather than broad-based surcharges.</w:t>
      </w:r>
    </w:p>
    <w:p>
      <w:pPr>
        <w:pStyle w:val="Compact"/>
        <w:numPr>
          <w:ilvl w:val="0"/>
          <w:numId w:val="1001"/>
        </w:numPr>
      </w:pPr>
      <w:r>
        <w:rPr>
          <w:b/>
          <w:bCs/>
        </w:rPr>
        <w:t xml:space="preserve">Trojan / UV:</w:t>
      </w:r>
      <w:r>
        <w:t xml:space="preserve"> </w:t>
      </w:r>
      <w:r>
        <w:t xml:space="preserve">Quoting activity and orders are more valuable than near-term revenue; management said current wins in this longer-cycle business would largely ship in late 2027.</w:t>
      </w:r>
    </w:p>
    <w:p>
      <w:pPr>
        <w:pStyle w:val="Compact"/>
        <w:numPr>
          <w:ilvl w:val="0"/>
          <w:numId w:val="1001"/>
        </w:numPr>
      </w:pPr>
      <w:r>
        <w:rPr>
          <w:b/>
          <w:bCs/>
        </w:rPr>
        <w:t xml:space="preserve">In-Situ contribution and integration:</w:t>
      </w:r>
      <w:r>
        <w:t xml:space="preserve"> </w:t>
      </w:r>
      <w:r>
        <w:t xml:space="preserve">The January acquisition expands environmental water measurement and monitoring. Investors will want evidence that its growth profile and cross-selling opportunity are tracking to plan.</w:t>
      </w:r>
    </w:p>
    <w:p>
      <w:pPr>
        <w:pStyle w:val="FirstParagraph"/>
      </w:pPr>
      <w:r>
        <w:t xml:space="preserve">A continuation of Water Quality’s 1Q strength would reduce concern that the full-year growth acceleration depends too heavily on a rebound at PQI.</w:t>
      </w:r>
    </w:p>
    <w:bookmarkEnd w:id="11"/>
    <w:bookmarkStart w:id="12" w:name="X196a91dfb36ab903ab976129ea93c6011dbcb6c"/>
    <w:p>
      <w:pPr>
        <w:pStyle w:val="Heading3"/>
      </w:pPr>
      <w:r>
        <w:t xml:space="preserve">2. PQI is the swing factor</w:t>
      </w:r>
    </w:p>
    <w:p>
      <w:pPr>
        <w:pStyle w:val="FirstParagraph"/>
      </w:pPr>
      <w:r>
        <w:t xml:space="preserve">PQI core sales fell</w:t>
      </w:r>
      <w:r>
        <w:t xml:space="preserve"> </w:t>
      </w:r>
      <w:r>
        <w:rPr>
          <w:b/>
          <w:bCs/>
        </w:rPr>
        <w:t xml:space="preserve">1.0% in 1Q</w:t>
      </w:r>
      <w:r>
        <w:t xml:space="preserve">, mainly because of a high-single-digit decline in packaging and color, tied to nonrecurring equipment sales into discrete industrial end markets such as automotive, textiles, and building materials. Management characterized consumer packaged goods demand, marking and coding, and its Esko/TraceGains digital packaging offerings as steady.</w:t>
      </w:r>
    </w:p>
    <w:p>
      <w:pPr>
        <w:pStyle w:val="BodyText"/>
      </w:pPr>
      <w:r>
        <w:t xml:space="preserve">The central question for 2Q is whether PQI returns to growth.</w:t>
      </w:r>
    </w:p>
    <w:p>
      <w:pPr>
        <w:pStyle w:val="BodyText"/>
      </w:pPr>
      <w:r>
        <w:t xml:space="preserve">Key watch items:</w:t>
      </w:r>
    </w:p>
    <w:p>
      <w:pPr>
        <w:pStyle w:val="Compact"/>
        <w:numPr>
          <w:ilvl w:val="0"/>
          <w:numId w:val="1002"/>
        </w:numPr>
      </w:pPr>
      <w:r>
        <w:rPr>
          <w:b/>
          <w:bCs/>
        </w:rPr>
        <w:t xml:space="preserve">Marking and coding:</w:t>
      </w:r>
      <w:r>
        <w:t xml:space="preserve"> </w:t>
      </w:r>
      <w:r>
        <w:t xml:space="preserve">This is the most recurring and defensive part of PQI. Continued stable CPG demand would be reassuring.</w:t>
      </w:r>
    </w:p>
    <w:p>
      <w:pPr>
        <w:pStyle w:val="Compact"/>
        <w:numPr>
          <w:ilvl w:val="0"/>
          <w:numId w:val="1002"/>
        </w:numPr>
      </w:pPr>
      <w:r>
        <w:rPr>
          <w:b/>
          <w:bCs/>
        </w:rPr>
        <w:t xml:space="preserve">Packaging and color equipment:</w:t>
      </w:r>
      <w:r>
        <w:t xml:space="preserve"> </w:t>
      </w:r>
      <w:r>
        <w:t xml:space="preserve">Management framed 1Q weakness as timing and discrete end-market exposure rather than a broad demand problem. Evidence of normalization would be a material positive.</w:t>
      </w:r>
    </w:p>
    <w:p>
      <w:pPr>
        <w:pStyle w:val="Compact"/>
        <w:numPr>
          <w:ilvl w:val="0"/>
          <w:numId w:val="1002"/>
        </w:numPr>
      </w:pPr>
      <w:r>
        <w:rPr>
          <w:b/>
          <w:bCs/>
        </w:rPr>
        <w:t xml:space="preserve">Europe and China:</w:t>
      </w:r>
      <w:r>
        <w:t xml:space="preserve"> </w:t>
      </w:r>
      <w:r>
        <w:t xml:space="preserve">Europe faced difficult 1Q comparisons and delayed hardware shipments. China remained a mature, low-growth market, with Water Quality weaker due to muted municipal funding.</w:t>
      </w:r>
    </w:p>
    <w:p>
      <w:pPr>
        <w:pStyle w:val="Compact"/>
        <w:numPr>
          <w:ilvl w:val="0"/>
          <w:numId w:val="1002"/>
        </w:numPr>
      </w:pPr>
      <w:r>
        <w:rPr>
          <w:b/>
          <w:bCs/>
        </w:rPr>
        <w:t xml:space="preserve">GlobalVision integration:</w:t>
      </w:r>
      <w:r>
        <w:t xml:space="preserve"> </w:t>
      </w:r>
      <w:r>
        <w:t xml:space="preserve">Acquired in April, GlobalVision strengthens the packaging-compliance workflow for pharmaceutical and CPG customers. Investors should listen for early commercial traction, integration costs, and the expected earnings contribution.</w:t>
      </w:r>
    </w:p>
    <w:bookmarkEnd w:id="12"/>
    <w:bookmarkStart w:id="13" w:name="Xfa801826e7db481c915b752be9f76f6abcdb691"/>
    <w:p>
      <w:pPr>
        <w:pStyle w:val="Heading3"/>
      </w:pPr>
      <w:r>
        <w:t xml:space="preserve">3. Margin performance may matter more than the 2Q EPS print</w:t>
      </w:r>
    </w:p>
    <w:p>
      <w:pPr>
        <w:pStyle w:val="FirstParagraph"/>
      </w:pPr>
      <w:r>
        <w:t xml:space="preserve">The company guided to approximately</w:t>
      </w:r>
      <w:r>
        <w:t xml:space="preserve"> </w:t>
      </w:r>
      <w:r>
        <w:rPr>
          <w:b/>
          <w:bCs/>
        </w:rPr>
        <w:t xml:space="preserve">23.5% adjusted operating margin</w:t>
      </w:r>
      <w:r>
        <w:t xml:space="preserve">, below the 23.7% achieved in 2Q25. That means a modest margin decline is already contemplated, likely reflecting business mix, acquisition dilution/amortization, and continued investment.</w:t>
      </w:r>
    </w:p>
    <w:p>
      <w:pPr>
        <w:pStyle w:val="BodyText"/>
      </w:pPr>
      <w:r>
        <w:t xml:space="preserve">The more important question is the</w:t>
      </w:r>
      <w:r>
        <w:t xml:space="preserve"> </w:t>
      </w:r>
      <w:r>
        <w:rPr>
          <w:b/>
          <w:bCs/>
        </w:rPr>
        <w:t xml:space="preserve">trajectory</w:t>
      </w:r>
      <w:r>
        <w:t xml:space="preserve">:</w:t>
      </w:r>
    </w:p>
    <w:p>
      <w:pPr>
        <w:pStyle w:val="Compact"/>
        <w:numPr>
          <w:ilvl w:val="0"/>
          <w:numId w:val="1003"/>
        </w:numPr>
      </w:pPr>
      <w:r>
        <w:t xml:space="preserve">Is PQI mix the principal drag, and is it temporary?</w:t>
      </w:r>
    </w:p>
    <w:p>
      <w:pPr>
        <w:pStyle w:val="Compact"/>
        <w:numPr>
          <w:ilvl w:val="0"/>
          <w:numId w:val="1003"/>
        </w:numPr>
      </w:pPr>
      <w:r>
        <w:t xml:space="preserve">Are price and productivity offsetting tariffs and input inflation as planned?</w:t>
      </w:r>
    </w:p>
    <w:p>
      <w:pPr>
        <w:pStyle w:val="Compact"/>
        <w:numPr>
          <w:ilvl w:val="0"/>
          <w:numId w:val="1003"/>
        </w:numPr>
      </w:pPr>
      <w:r>
        <w:t xml:space="preserve">Does management retain confidence in its long-term</w:t>
      </w:r>
      <w:r>
        <w:t xml:space="preserve"> </w:t>
      </w:r>
      <w:r>
        <w:rPr>
          <w:b/>
          <w:bCs/>
        </w:rPr>
        <w:t xml:space="preserve">30%–35% incremental conversion</w:t>
      </w:r>
      <w:r>
        <w:t xml:space="preserve"> </w:t>
      </w:r>
      <w:r>
        <w:t xml:space="preserve">framework?</w:t>
      </w:r>
    </w:p>
    <w:p>
      <w:pPr>
        <w:pStyle w:val="Compact"/>
        <w:numPr>
          <w:ilvl w:val="0"/>
          <w:numId w:val="1003"/>
        </w:numPr>
      </w:pPr>
      <w:r>
        <w:t xml:space="preserve">Is the 2026 restructuring program on schedule, without unexpected disruption?</w:t>
      </w:r>
    </w:p>
    <w:p>
      <w:pPr>
        <w:pStyle w:val="FirstParagraph"/>
      </w:pPr>
      <w:r>
        <w:t xml:space="preserve">Veralto’s new cost-optimization program is expected to cost</w:t>
      </w:r>
      <w:r>
        <w:t xml:space="preserve"> </w:t>
      </w:r>
      <m:oMath>
        <m:r>
          <m:t>85</m:t>
        </m:r>
        <m:r>
          <m:t>m</m:t>
        </m:r>
        <m:r>
          <m:t>i</m:t>
        </m:r>
        <m:r>
          <m:t>l</m:t>
        </m:r>
        <m:r>
          <m:t>l</m:t>
        </m:r>
        <m:r>
          <m:t>i</m:t>
        </m:r>
        <m:r>
          <m:t>o</m:t>
        </m:r>
        <m:r>
          <m:t>n</m:t>
        </m:r>
        <m:r>
          <m:rPr>
            <m:sty m:val="p"/>
          </m:rPr>
          <m:t>–</m:t>
        </m:r>
      </m:oMath>
      <w:r>
        <w:rPr>
          <w:b/>
          <w:bCs/>
        </w:rPr>
        <w:t xml:space="preserve">105 million</w:t>
      </w:r>
      <w:r>
        <w:t xml:space="preserve"> </w:t>
      </w:r>
      <w:r>
        <w:t xml:space="preserve">and generate</w:t>
      </w:r>
      <w:r>
        <w:t xml:space="preserve"> </w:t>
      </w:r>
      <m:oMath>
        <m:r>
          <m:t>65</m:t>
        </m:r>
        <m:r>
          <m:t>m</m:t>
        </m:r>
        <m:r>
          <m:t>i</m:t>
        </m:r>
        <m:r>
          <m:t>l</m:t>
        </m:r>
        <m:r>
          <m:t>l</m:t>
        </m:r>
        <m:r>
          <m:t>i</m:t>
        </m:r>
        <m:r>
          <m:t>o</m:t>
        </m:r>
        <m:r>
          <m:t>n</m:t>
        </m:r>
        <m:r>
          <m:rPr>
            <m:sty m:val="p"/>
          </m:rPr>
          <m:t>–</m:t>
        </m:r>
      </m:oMath>
      <w:r>
        <w:rPr>
          <w:b/>
          <w:bCs/>
        </w:rPr>
        <w:t xml:space="preserve">75 million of annual savings by 2028</w:t>
      </w:r>
      <w:r>
        <w:t xml:space="preserve">. Management has said there is</w:t>
      </w:r>
      <w:r>
        <w:t xml:space="preserve"> </w:t>
      </w:r>
      <w:r>
        <w:rPr>
          <w:b/>
          <w:bCs/>
        </w:rPr>
        <w:t xml:space="preserve">no benefit embedded in 2026 guidance</w:t>
      </w:r>
      <w:r>
        <w:t xml:space="preserve">, roughly half of the savings should arrive in 2027, and the full run-rate benefit in 2028. Therefore, 2Q should be viewed as an execution and timing update, not a quarter in which restructuring savings should drive an upside surprise.</w:t>
      </w:r>
    </w:p>
    <w:bookmarkEnd w:id="13"/>
    <w:bookmarkStart w:id="14" w:name="X1dff5ba576a22c3fa1ed89fa91fb0491dff4756"/>
    <w:p>
      <w:pPr>
        <w:pStyle w:val="Heading3"/>
      </w:pPr>
      <w:r>
        <w:t xml:space="preserve">4. Guidance is the real catalyst</w:t>
      </w:r>
    </w:p>
    <w:p>
      <w:pPr>
        <w:pStyle w:val="FirstParagraph"/>
      </w:pPr>
      <w:r>
        <w:t xml:space="preserve">After a strong 1Q, Veralto raised full-year adjusted EPS guidance from</w:t>
      </w:r>
      <w:r>
        <w:t xml:space="preserve"> </w:t>
      </w:r>
      <m:oMath>
        <m:r>
          <m:t>4.10</m:t>
        </m:r>
        <m:r>
          <m:rPr>
            <m:sty m:val="p"/>
          </m:rPr>
          <m:t>–</m:t>
        </m:r>
      </m:oMath>
      <w:r>
        <w:rPr>
          <w:b/>
          <w:bCs/>
        </w:rPr>
        <w:t xml:space="preserve">4.20</w:t>
      </w:r>
      <w:r>
        <w:t xml:space="preserve"> </w:t>
      </w:r>
      <w:r>
        <w:t xml:space="preserve">to</w:t>
      </w:r>
      <w:r>
        <w:t xml:space="preserve"> </w:t>
      </w:r>
      <m:oMath>
        <m:r>
          <m:t>4.20</m:t>
        </m:r>
        <m:r>
          <m:rPr>
            <m:sty m:val="p"/>
          </m:rPr>
          <m:t>–</m:t>
        </m:r>
      </m:oMath>
      <w:r>
        <w:rPr>
          <w:b/>
          <w:bCs/>
        </w:rPr>
        <w:t xml:space="preserve">4.28</w:t>
      </w:r>
      <w:r>
        <w:t xml:space="preserve">. Management attributed the increase primarily to operating performance, stronger order-book trends, price realization, and execution—not merely buybacks.</w:t>
      </w:r>
    </w:p>
    <w:p>
      <w:pPr>
        <w:pStyle w:val="BodyText"/>
      </w:pPr>
      <w:r>
        <w:t xml:space="preserve">At the 2Q midpoint of</w:t>
      </w:r>
      <w:r>
        <w:t xml:space="preserve"> </w:t>
      </w:r>
      <m:oMath>
        <m:r>
          <m:t>0.98</m:t>
        </m:r>
        <m:r>
          <m:rPr>
            <m:sty m:val="p"/>
          </m:rPr>
          <m:t>,</m:t>
        </m:r>
        <m:r>
          <m:t>t</m:t>
        </m:r>
        <m:r>
          <m:t>h</m:t>
        </m:r>
        <m:r>
          <m:t>e</m:t>
        </m:r>
        <m:r>
          <m:t>c</m:t>
        </m:r>
        <m:r>
          <m:t>u</m:t>
        </m:r>
        <m:r>
          <m:t>r</m:t>
        </m:r>
        <m:r>
          <m:t>r</m:t>
        </m:r>
        <m:r>
          <m:t>e</m:t>
        </m:r>
        <m:r>
          <m:t>n</m:t>
        </m:r>
        <m:r>
          <m:t>t</m:t>
        </m:r>
        <m:r>
          <m:t>f</m:t>
        </m:r>
        <m:r>
          <m:t>u</m:t>
        </m:r>
        <m:r>
          <m:t>l</m:t>
        </m:r>
        <m:r>
          <m:t>l</m:t>
        </m:r>
        <m:r>
          <m:rPr>
            <m:sty m:val="p"/>
          </m:rPr>
          <m:t>−</m:t>
        </m:r>
        <m:r>
          <m:t>y</m:t>
        </m:r>
        <m:r>
          <m:t>e</m:t>
        </m:r>
        <m:r>
          <m:t>a</m:t>
        </m:r>
        <m:r>
          <m:t>r</m:t>
        </m:r>
        <m:r>
          <m:t>g</m:t>
        </m:r>
        <m:r>
          <m:t>u</m:t>
        </m:r>
        <m:r>
          <m:t>i</m:t>
        </m:r>
        <m:r>
          <m:t>d</m:t>
        </m:r>
        <m:r>
          <m:t>e</m:t>
        </m:r>
        <m:r>
          <m:t>i</m:t>
        </m:r>
        <m:r>
          <m:t>m</m:t>
        </m:r>
        <m:r>
          <m:t>p</m:t>
        </m:r>
        <m:r>
          <m:t>l</m:t>
        </m:r>
        <m:r>
          <m:t>i</m:t>
        </m:r>
        <m:r>
          <m:t>e</m:t>
        </m:r>
        <m:r>
          <m:t>s</m:t>
        </m:r>
        <m:r>
          <m:t>a</m:t>
        </m:r>
        <m:r>
          <m:t>b</m:t>
        </m:r>
        <m:r>
          <m:t>o</m:t>
        </m:r>
        <m:r>
          <m:t>u</m:t>
        </m:r>
        <m:r>
          <m:t>t</m:t>
        </m:r>
        <m:r>
          <m:rPr>
            <m:sty m:val="p"/>
          </m:rPr>
          <m:t>*</m:t>
        </m:r>
        <m:r>
          <m:rPr>
            <m:sty m:val="p"/>
          </m:rPr>
          <m:t>*</m:t>
        </m:r>
      </m:oMath>
      <w:r>
        <w:t xml:space="preserve">2.15–$2.23 of adjusted EPS in the second half**. That leaves a meaningful back-half ramp, which management has linked to improving core growth, easier comparisons—particularly in 4Q—and ongoing pricing/productivity.</w:t>
      </w:r>
    </w:p>
    <w:p>
      <w:pPr>
        <w:pStyle w:val="BodyText"/>
      </w:pPr>
      <w:r>
        <w:rPr>
          <w:b/>
          <w:bCs/>
        </w:rPr>
        <w:t xml:space="preserve">Bullish outcome:</w:t>
      </w:r>
      <w:r>
        <w:t xml:space="preserve"> </w:t>
      </w:r>
      <w:r>
        <w:t xml:space="preserve">reaffirmation or a raise accompanied by confidence that 3Q and 4Q organic growth will accelerate.</w:t>
      </w:r>
    </w:p>
    <w:p>
      <w:pPr>
        <w:pStyle w:val="BodyText"/>
      </w:pPr>
      <w:r>
        <w:rPr>
          <w:b/>
          <w:bCs/>
        </w:rPr>
        <w:t xml:space="preserve">Less favorable outcome:</w:t>
      </w:r>
      <w:r>
        <w:t xml:space="preserve"> </w:t>
      </w:r>
      <w:r>
        <w:t xml:space="preserve">retained annual guidance but with softer commentary on industrial equipment, China, global end markets, or pricing. That would invite questions about how much of the second-half acceleration is still achievable.</w:t>
      </w:r>
    </w:p>
    <w:p>
      <w:r>
        <w:pict>
          <v:rect style="width:0;height:1.5pt" o:hralign="center" o:hrstd="t" o:hr="t"/>
        </w:pict>
      </w:r>
    </w:p>
    <w:bookmarkEnd w:id="14"/>
    <w:bookmarkEnd w:id="15"/>
    <w:bookmarkStart w:id="16" w:name="Xc040cb79fbfaf23ec9ba843bb1c93605ab3f91f"/>
    <w:p>
      <w:pPr>
        <w:pStyle w:val="Heading2"/>
      </w:pPr>
      <w:r>
        <w:t xml:space="preserve">Capital allocation and balance sheet: an underappreciated earnings-call topic</w:t>
      </w:r>
    </w:p>
    <w:p>
      <w:pPr>
        <w:pStyle w:val="FirstParagraph"/>
      </w:pPr>
      <w:r>
        <w:t xml:space="preserve">Veralto deployed roughly</w:t>
      </w:r>
      <w:r>
        <w:t xml:space="preserve"> </w:t>
      </w:r>
      <w:r>
        <w:rPr>
          <w:b/>
          <w:bCs/>
        </w:rPr>
        <w:t xml:space="preserve">$1 billion</w:t>
      </w:r>
      <w:r>
        <w:t xml:space="preserve"> </w:t>
      </w:r>
      <w:r>
        <w:t xml:space="preserve">early in 2026:</w:t>
      </w:r>
    </w:p>
    <w:p>
      <w:pPr>
        <w:pStyle w:val="Compact"/>
        <w:numPr>
          <w:ilvl w:val="0"/>
          <w:numId w:val="1004"/>
        </w:numPr>
      </w:pPr>
      <w:r>
        <w:t xml:space="preserve">Approximately</w:t>
      </w:r>
      <w:r>
        <w:t xml:space="preserve"> </w:t>
      </w:r>
      <w:r>
        <w:rPr>
          <w:b/>
          <w:bCs/>
        </w:rPr>
        <w:t xml:space="preserve">$620 million</w:t>
      </w:r>
      <w:r>
        <w:t xml:space="preserve"> </w:t>
      </w:r>
      <w:r>
        <w:t xml:space="preserve">for the In-Situ and GlobalVision acquisitions;</w:t>
      </w:r>
    </w:p>
    <w:p>
      <w:pPr>
        <w:pStyle w:val="Compact"/>
        <w:numPr>
          <w:ilvl w:val="0"/>
          <w:numId w:val="1004"/>
        </w:numPr>
      </w:pPr>
      <w:r>
        <w:rPr>
          <w:b/>
          <w:bCs/>
        </w:rPr>
        <w:t xml:space="preserve">$300 million</w:t>
      </w:r>
      <w:r>
        <w:t xml:space="preserve"> </w:t>
      </w:r>
      <w:r>
        <w:t xml:space="preserve">for share repurchases, reducing shares outstanding by about 1.3%.</w:t>
      </w:r>
    </w:p>
    <w:p>
      <w:pPr>
        <w:pStyle w:val="FirstParagraph"/>
      </w:pPr>
      <w:r>
        <w:t xml:space="preserve">At the end of 1Q, the company had</w:t>
      </w:r>
      <w:r>
        <w:t xml:space="preserve"> </w:t>
      </w:r>
      <m:oMath>
        <m:r>
          <m:t>1.43</m:t>
        </m:r>
        <m:r>
          <m:t>b</m:t>
        </m:r>
        <m:r>
          <m:t>i</m:t>
        </m:r>
        <m:r>
          <m:t>l</m:t>
        </m:r>
        <m:r>
          <m:t>l</m:t>
        </m:r>
        <m:r>
          <m:t>i</m:t>
        </m:r>
        <m:r>
          <m:t>o</m:t>
        </m:r>
        <m:r>
          <m:t>n</m:t>
        </m:r>
        <m:r>
          <m:t>o</m:t>
        </m:r>
        <m:r>
          <m:t>f</m:t>
        </m:r>
        <m:r>
          <m:t>c</m:t>
        </m:r>
        <m:r>
          <m:t>a</m:t>
        </m:r>
        <m:r>
          <m:t>s</m:t>
        </m:r>
        <m:r>
          <m:t>h</m:t>
        </m:r>
        <m:r>
          <m:rPr>
            <m:sty m:val="p"/>
          </m:rPr>
          <m:t>*</m:t>
        </m:r>
        <m:r>
          <m:rPr>
            <m:sty m:val="p"/>
          </m:rPr>
          <m:t>*</m:t>
        </m:r>
        <m:r>
          <m:rPr>
            <m:sty m:val="p"/>
          </m:rPr>
          <m:t>,</m:t>
        </m:r>
        <m:r>
          <m:t>a</m:t>
        </m:r>
        <m:r>
          <m:t>p</m:t>
        </m:r>
        <m:r>
          <m:t>p</m:t>
        </m:r>
        <m:r>
          <m:t>r</m:t>
        </m:r>
        <m:r>
          <m:t>o</m:t>
        </m:r>
        <m:r>
          <m:t>x</m:t>
        </m:r>
        <m:r>
          <m:t>i</m:t>
        </m:r>
        <m:r>
          <m:t>m</m:t>
        </m:r>
        <m:r>
          <m:t>a</m:t>
        </m:r>
        <m:r>
          <m:t>t</m:t>
        </m:r>
        <m:r>
          <m:t>e</m:t>
        </m:r>
        <m:r>
          <m:t>l</m:t>
        </m:r>
        <m:r>
          <m:t>y</m:t>
        </m:r>
        <m:r>
          <m:rPr>
            <m:sty m:val="p"/>
          </m:rPr>
          <m:t>*</m:t>
        </m:r>
        <m:r>
          <m:rPr>
            <m:sty m:val="p"/>
          </m:rPr>
          <m:t>*</m:t>
        </m:r>
      </m:oMath>
      <w:r>
        <w:rPr>
          <w:b/>
          <w:bCs/>
        </w:rPr>
        <w:t xml:space="preserve">2.66 billion of debt</w:t>
      </w:r>
      <w:r>
        <w:t xml:space="preserve">, and no borrowings under its credit facility or commercial-paper program. It also had</w:t>
      </w:r>
      <w:r>
        <w:t xml:space="preserve"> </w:t>
      </w:r>
      <w:r>
        <w:rPr>
          <w:b/>
          <w:bCs/>
        </w:rPr>
        <w:t xml:space="preserve">$450 million</w:t>
      </w:r>
      <w:r>
        <w:t xml:space="preserve"> </w:t>
      </w:r>
      <w:r>
        <w:t xml:space="preserve">remaining under its $750 million repurchase authorization as of April 3.</w:t>
      </w:r>
    </w:p>
    <w:p>
      <w:pPr>
        <w:pStyle w:val="BodyText"/>
      </w:pPr>
      <w:r>
        <w:t xml:space="preserve">Key questions for the call:</w:t>
      </w:r>
    </w:p>
    <w:p>
      <w:pPr>
        <w:pStyle w:val="Compact"/>
        <w:numPr>
          <w:ilvl w:val="0"/>
          <w:numId w:val="1005"/>
        </w:numPr>
      </w:pPr>
      <w:r>
        <w:t xml:space="preserve">Has the company repurchased more shares in 2Q, particularly given the stock’s recovery?</w:t>
      </w:r>
    </w:p>
    <w:p>
      <w:pPr>
        <w:pStyle w:val="Compact"/>
        <w:numPr>
          <w:ilvl w:val="0"/>
          <w:numId w:val="1005"/>
        </w:numPr>
      </w:pPr>
      <w:r>
        <w:t xml:space="preserve">Are additional bolt-on acquisitions likely in 2026?</w:t>
      </w:r>
    </w:p>
    <w:p>
      <w:pPr>
        <w:pStyle w:val="Compact"/>
        <w:numPr>
          <w:ilvl w:val="0"/>
          <w:numId w:val="1005"/>
        </w:numPr>
      </w:pPr>
      <w:r>
        <w:t xml:space="preserve">How does management expect to address the</w:t>
      </w:r>
      <w:r>
        <w:t xml:space="preserve"> </w:t>
      </w:r>
      <w:r>
        <w:rPr>
          <w:b/>
          <w:bCs/>
        </w:rPr>
        <w:t xml:space="preserve">$700 million of notes maturing in September 2026</w:t>
      </w:r>
      <w:r>
        <w:t xml:space="preserve">?</w:t>
      </w:r>
    </w:p>
    <w:p>
      <w:pPr>
        <w:pStyle w:val="Compact"/>
        <w:numPr>
          <w:ilvl w:val="0"/>
          <w:numId w:val="1005"/>
        </w:numPr>
      </w:pPr>
      <w:r>
        <w:t xml:space="preserve">Has the acquisition pipeline become more attractive amid a mixed macro environment?</w:t>
      </w:r>
    </w:p>
    <w:p>
      <w:pPr>
        <w:pStyle w:val="FirstParagraph"/>
      </w:pPr>
      <w:r>
        <w:t xml:space="preserve">Management continues to express a preference for M&amp;A, while reserving the option to repurchase shares when it sees a disconnect between market value and business performance.</w:t>
      </w:r>
    </w:p>
    <w:p>
      <w:r>
        <w:pict>
          <v:rect style="width:0;height:1.5pt" o:hralign="center" o:hrstd="t" o:hr="t"/>
        </w:pict>
      </w:r>
    </w:p>
    <w:bookmarkEnd w:id="16"/>
    <w:bookmarkStart w:id="17" w:name="potential-catalysts"/>
    <w:p>
      <w:pPr>
        <w:pStyle w:val="Heading2"/>
      </w:pPr>
      <w:r>
        <w:t xml:space="preserve">Potential catalysts</w:t>
      </w:r>
    </w:p>
    <w:p>
      <w:pPr>
        <w:pStyle w:val="Compact"/>
        <w:numPr>
          <w:ilvl w:val="0"/>
          <w:numId w:val="1006"/>
        </w:numPr>
      </w:pPr>
      <w:r>
        <w:rPr>
          <w:b/>
          <w:bCs/>
        </w:rPr>
        <w:t xml:space="preserve">Core growth at or above the 3%–4% guide</w:t>
      </w:r>
      <w:r>
        <w:t xml:space="preserve">, especially if driven by both segments.</w:t>
      </w:r>
    </w:p>
    <w:p>
      <w:pPr>
        <w:pStyle w:val="Compact"/>
        <w:numPr>
          <w:ilvl w:val="0"/>
          <w:numId w:val="1006"/>
        </w:numPr>
      </w:pPr>
      <w:r>
        <w:t xml:space="preserve">A clear</w:t>
      </w:r>
      <w:r>
        <w:t xml:space="preserve"> </w:t>
      </w:r>
      <w:r>
        <w:rPr>
          <w:b/>
          <w:bCs/>
        </w:rPr>
        <w:t xml:space="preserve">return to PQI growth</w:t>
      </w:r>
      <w:r>
        <w:t xml:space="preserve">, with weakness in packaging/color shown to be temporary.</w:t>
      </w:r>
    </w:p>
    <w:p>
      <w:pPr>
        <w:pStyle w:val="Compact"/>
        <w:numPr>
          <w:ilvl w:val="0"/>
          <w:numId w:val="1006"/>
        </w:numPr>
      </w:pPr>
      <w:r>
        <w:rPr>
          <w:b/>
          <w:bCs/>
        </w:rPr>
        <w:t xml:space="preserve">Full-year EPS guidance raised again</w:t>
      </w:r>
      <w:r>
        <w:t xml:space="preserve">, or at least reaffirmed with an improved second-half outlook.</w:t>
      </w:r>
    </w:p>
    <w:p>
      <w:pPr>
        <w:pStyle w:val="Compact"/>
        <w:numPr>
          <w:ilvl w:val="0"/>
          <w:numId w:val="1006"/>
        </w:numPr>
      </w:pPr>
      <w:r>
        <w:t xml:space="preserve">Better-than-expected margin performance despite a guided year-over-year decline.</w:t>
      </w:r>
    </w:p>
    <w:p>
      <w:pPr>
        <w:pStyle w:val="Compact"/>
        <w:numPr>
          <w:ilvl w:val="0"/>
          <w:numId w:val="1006"/>
        </w:numPr>
      </w:pPr>
      <w:r>
        <w:t xml:space="preserve">Evidence that In-Situ and GlobalVision are adding growth and strategic value without disrupting execution.</w:t>
      </w:r>
    </w:p>
    <w:p>
      <w:pPr>
        <w:pStyle w:val="Compact"/>
        <w:numPr>
          <w:ilvl w:val="0"/>
          <w:numId w:val="1006"/>
        </w:numPr>
      </w:pPr>
      <w:r>
        <w:t xml:space="preserve">Strong free-cash-flow conversion and an updated capital-allocation plan.</w:t>
      </w:r>
    </w:p>
    <w:bookmarkEnd w:id="17"/>
    <w:bookmarkStart w:id="18" w:name="principal-risks-into-the-print"/>
    <w:p>
      <w:pPr>
        <w:pStyle w:val="Heading2"/>
      </w:pPr>
      <w:r>
        <w:t xml:space="preserve">Principal risks into the print</w:t>
      </w:r>
    </w:p>
    <w:p>
      <w:pPr>
        <w:pStyle w:val="Compact"/>
        <w:numPr>
          <w:ilvl w:val="0"/>
          <w:numId w:val="1007"/>
        </w:numPr>
      </w:pPr>
      <w:r>
        <w:t xml:space="preserve">PQI’s 1Q softness in industrial equipment persists beyond timing effects.</w:t>
      </w:r>
    </w:p>
    <w:p>
      <w:pPr>
        <w:pStyle w:val="Compact"/>
        <w:numPr>
          <w:ilvl w:val="0"/>
          <w:numId w:val="1007"/>
        </w:numPr>
      </w:pPr>
      <w:r>
        <w:t xml:space="preserve">Water Quality’s growth moderates if industrial activity, municipal budgets, or China weaken.</w:t>
      </w:r>
    </w:p>
    <w:p>
      <w:pPr>
        <w:pStyle w:val="Compact"/>
        <w:numPr>
          <w:ilvl w:val="0"/>
          <w:numId w:val="1007"/>
        </w:numPr>
      </w:pPr>
      <w:r>
        <w:t xml:space="preserve">Price/cost balance deteriorates amid commodity, tariff, or logistics pressure.</w:t>
      </w:r>
    </w:p>
    <w:p>
      <w:pPr>
        <w:pStyle w:val="Compact"/>
        <w:numPr>
          <w:ilvl w:val="0"/>
          <w:numId w:val="1007"/>
        </w:numPr>
      </w:pPr>
      <w:r>
        <w:t xml:space="preserve">FX and acquisition accounting obscure underlying operating momentum.</w:t>
      </w:r>
    </w:p>
    <w:p>
      <w:pPr>
        <w:pStyle w:val="Compact"/>
        <w:numPr>
          <w:ilvl w:val="0"/>
          <w:numId w:val="1007"/>
        </w:numPr>
      </w:pPr>
      <w:r>
        <w:t xml:space="preserve">A merely in-line result paired with no increase to full-year guidance disappoints a stock that has recovered meaningfully since 1Q earnings.</w:t>
      </w:r>
    </w:p>
    <w:p>
      <w:r>
        <w:pict>
          <v:rect style="width:0;height:1.5pt" o:hralign="center" o:hrstd="t" o:hr="t"/>
        </w:pict>
      </w:r>
    </w:p>
    <w:bookmarkEnd w:id="18"/>
    <w:bookmarkStart w:id="19" w:name="Xf9209ac77f61e45d02bad84a6242f7fa2a8f652"/>
    <w:p>
      <w:pPr>
        <w:pStyle w:val="Heading2"/>
      </w:pPr>
      <w:r>
        <w:t xml:space="preserve">Questions investors should ask management</w:t>
      </w:r>
    </w:p>
    <w:p>
      <w:pPr>
        <w:pStyle w:val="Compact"/>
        <w:numPr>
          <w:ilvl w:val="0"/>
          <w:numId w:val="1008"/>
        </w:numPr>
      </w:pPr>
      <w:r>
        <w:rPr>
          <w:b/>
          <w:bCs/>
        </w:rPr>
        <w:t xml:space="preserve">What specifically improved or deteriorated in PQI during 2Q?</w:t>
      </w:r>
      <w:r>
        <w:t xml:space="preserve"> </w:t>
      </w:r>
      <w:r>
        <w:t xml:space="preserve">Is packaging/color back to organic growth, and how are CPG, Europe, and discrete industrial end markets trending?</w:t>
      </w:r>
    </w:p>
    <w:p>
      <w:pPr>
        <w:pStyle w:val="Compact"/>
        <w:numPr>
          <w:ilvl w:val="0"/>
          <w:numId w:val="1008"/>
        </w:numPr>
      </w:pPr>
      <w:r>
        <w:rPr>
          <w:b/>
          <w:bCs/>
        </w:rPr>
        <w:t xml:space="preserve">How much of 2H growth is volume, price, acquisitions, and easier comparisons?</w:t>
      </w:r>
    </w:p>
    <w:p>
      <w:pPr>
        <w:pStyle w:val="Compact"/>
        <w:numPr>
          <w:ilvl w:val="0"/>
          <w:numId w:val="1008"/>
        </w:numPr>
      </w:pPr>
      <w:r>
        <w:rPr>
          <w:b/>
          <w:bCs/>
        </w:rPr>
        <w:t xml:space="preserve">Does Water Quality still see mid- to high-single-digit industrial growth</w:t>
      </w:r>
      <w:r>
        <w:t xml:space="preserve">, including data center-related activity, and are municipal markets holding steady?</w:t>
      </w:r>
    </w:p>
    <w:p>
      <w:pPr>
        <w:pStyle w:val="Compact"/>
        <w:numPr>
          <w:ilvl w:val="0"/>
          <w:numId w:val="1008"/>
        </w:numPr>
      </w:pPr>
      <w:r>
        <w:rPr>
          <w:b/>
          <w:bCs/>
        </w:rPr>
        <w:t xml:space="preserve">What is the current tariff and commodity-cost exposure</w:t>
      </w:r>
      <w:r>
        <w:t xml:space="preserve">, and are pricing actions fully offsetting it?</w:t>
      </w:r>
    </w:p>
    <w:p>
      <w:pPr>
        <w:pStyle w:val="Compact"/>
        <w:numPr>
          <w:ilvl w:val="0"/>
          <w:numId w:val="1008"/>
        </w:numPr>
      </w:pPr>
      <w:r>
        <w:rPr>
          <w:b/>
          <w:bCs/>
        </w:rPr>
        <w:t xml:space="preserve">What is the expected earnings and margin impact from In-Situ and GlobalVision</w:t>
      </w:r>
      <w:r>
        <w:t xml:space="preserve"> </w:t>
      </w:r>
      <w:r>
        <w:t xml:space="preserve">in 2026 and beyond?</w:t>
      </w:r>
    </w:p>
    <w:p>
      <w:pPr>
        <w:pStyle w:val="Compact"/>
        <w:numPr>
          <w:ilvl w:val="0"/>
          <w:numId w:val="1008"/>
        </w:numPr>
      </w:pPr>
      <w:r>
        <w:rPr>
          <w:b/>
          <w:bCs/>
        </w:rPr>
        <w:t xml:space="preserve">Has the cost program begun on schedule</w:t>
      </w:r>
      <w:r>
        <w:t xml:space="preserve">, and is the</w:t>
      </w:r>
      <w:r>
        <w:t xml:space="preserve"> </w:t>
      </w:r>
      <m:oMath>
        <m:r>
          <m:t>65</m:t>
        </m:r>
        <m:r>
          <m:t>m</m:t>
        </m:r>
        <m:r>
          <m:t>i</m:t>
        </m:r>
        <m:r>
          <m:t>l</m:t>
        </m:r>
        <m:r>
          <m:t>l</m:t>
        </m:r>
        <m:r>
          <m:t>i</m:t>
        </m:r>
        <m:r>
          <m:t>o</m:t>
        </m:r>
        <m:r>
          <m:t>n</m:t>
        </m:r>
        <m:r>
          <m:rPr>
            <m:sty m:val="p"/>
          </m:rPr>
          <m:t>–</m:t>
        </m:r>
      </m:oMath>
      <w:r>
        <w:t xml:space="preserve">75 million annual savings target intact?</w:t>
      </w:r>
    </w:p>
    <w:p>
      <w:pPr>
        <w:pStyle w:val="Compact"/>
        <w:numPr>
          <w:ilvl w:val="0"/>
          <w:numId w:val="1008"/>
        </w:numPr>
      </w:pPr>
      <w:r>
        <w:rPr>
          <w:b/>
          <w:bCs/>
        </w:rPr>
        <w:t xml:space="preserve">What is the plan for the September debt maturity</w:t>
      </w:r>
      <w:r>
        <w:t xml:space="preserve">, and how will it affect capital deployment priorities?</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The 2Q report is primarily a test of whether Veralto can turn a solid 1Q into a credible second-half acceleration story. Water Quality should provide a durable base, but a positive stock reaction likely requires confirmation that PQI’s 1Q weakness was temporary, margins remain structurally sound, and the raised</w:t>
      </w:r>
      <w:r>
        <w:t xml:space="preserve"> </w:t>
      </w:r>
      <m:oMath>
        <m:r>
          <m:t>4.20</m:t>
        </m:r>
        <m:r>
          <m:rPr>
            <m:sty m:val="p"/>
          </m:rPr>
          <m:t>–</m:t>
        </m:r>
      </m:oMath>
      <w:r>
        <w:rPr>
          <w:b/>
          <w:bCs/>
        </w:rPr>
        <w:t xml:space="preserve">4.28</w:t>
      </w:r>
      <w:r>
        <w:t xml:space="preserve"> </w:t>
      </w:r>
      <w:r>
        <w:t xml:space="preserve">full-year EPS target is increasingly achievable rather than simply maintained.</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2026-07-28T01:42:25Z</dcterms:created>
  <dcterms:modified xsi:type="dcterms:W3CDTF">2026-07-28T01:42:25Z</dcterms:modified>
</cp:coreProperties>
</file>

<file path=docProps/custom.xml><?xml version="1.0" encoding="utf-8"?>
<Properties xmlns="http://schemas.openxmlformats.org/officeDocument/2006/custom-properties" xmlns:vt="http://schemas.openxmlformats.org/officeDocument/2006/docPropsVTypes"/>
</file>