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Veralto Corporation (VLTO)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Veralto Corporation</w:t>
            </w:r>
          </w:p>
        </w:tc>
      </w:tr>
      <w:tr>
        <w:tc>
          <w:tcPr>
            <w:tcW w:type="dxa" w:w="4320"/>
          </w:tcPr>
          <w:p>
            <w:r>
              <w:rPr>
                <w:rFonts w:ascii="Calibri" w:hAnsi="Calibri"/>
                <w:b/>
                <w:sz w:val="22"/>
              </w:rPr>
              <w:t>Ticker</w:t>
            </w:r>
          </w:p>
        </w:tc>
        <w:tc>
          <w:tcPr>
            <w:tcW w:type="dxa" w:w="4320"/>
          </w:tcPr>
          <w:p>
            <w:r>
              <w:rPr>
                <w:rFonts w:ascii="Calibri" w:hAnsi="Calibri"/>
                <w:sz w:val="22"/>
              </w:rPr>
              <w:t>VLTO (NYSE)</w:t>
            </w:r>
          </w:p>
        </w:tc>
      </w:tr>
      <w:tr>
        <w:tc>
          <w:tcPr>
            <w:tcW w:type="dxa" w:w="4320"/>
          </w:tcPr>
          <w:p>
            <w:r>
              <w:rPr>
                <w:rFonts w:ascii="Calibri" w:hAnsi="Calibri"/>
                <w:b/>
                <w:sz w:val="22"/>
              </w:rPr>
              <w:t>Upcoming Earnings</w:t>
            </w:r>
          </w:p>
        </w:tc>
        <w:tc>
          <w:tcPr>
            <w:tcW w:type="dxa" w:w="4320"/>
          </w:tcPr>
          <w:p>
            <w:r>
              <w:rPr>
                <w:rFonts w:ascii="Calibri" w:hAnsi="Calibri"/>
                <w:sz w:val="22"/>
              </w:rPr>
              <w:t>Q2 2026 (expected late July / early August 2026)</w:t>
            </w:r>
          </w:p>
        </w:tc>
      </w:tr>
      <w:tr>
        <w:tc>
          <w:tcPr>
            <w:tcW w:type="dxa" w:w="4320"/>
          </w:tcPr>
          <w:p>
            <w:r>
              <w:rPr>
                <w:rFonts w:ascii="Calibri" w:hAnsi="Calibri"/>
                <w:b/>
                <w:sz w:val="22"/>
              </w:rPr>
              <w:t>Last Earnings</w:t>
            </w:r>
          </w:p>
        </w:tc>
        <w:tc>
          <w:tcPr>
            <w:tcW w:type="dxa" w:w="4320"/>
          </w:tcPr>
          <w:p>
            <w:r>
              <w:rPr>
                <w:rFonts w:ascii="Calibri" w:hAnsi="Calibri"/>
                <w:sz w:val="22"/>
              </w:rPr>
              <w:t>Q1 2026 — April 29, 2026 (beat on EPS and revenue; FY guidance raised)</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Analyst Coverage</w:t>
            </w:r>
          </w:p>
        </w:tc>
        <w:tc>
          <w:tcPr>
            <w:tcW w:type="dxa" w:w="4320"/>
          </w:tcPr>
          <w:p>
            <w:r>
              <w:rPr>
                <w:rFonts w:ascii="Calibri" w:hAnsi="Calibri"/>
                <w:sz w:val="22"/>
              </w:rPr>
              <w:t>Water Quality &amp; Product Quality / Industrial Technology</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reasonable bar with core growth expected to accelerate sequentially, but the biggest swing factor is whether PQI can recover from its Q1 weakness in discrete industrial end markets (automotive, textiles, building materials) while Water Quality sustains its mid-single-digit momentum.</w:t>
      </w:r>
    </w:p>
    <w:p>
      <w:r>
        <w:rPr>
          <w:rFonts w:ascii="Calibri" w:hAnsi="Calibri"/>
          <w:color w:val="525866"/>
          <w:sz w:val="22"/>
        </w:rPr>
        <w:t xml:space="preserve">Heading into Q2 2026, the bar for VLTO looks achievable but not easy. Consensus expects revenue of ~$1.455B (+6.1% YoY) and adjusted EPS of ~$1.008, both implying sequential acceleration from Q1's $1.422B / $1.07 print. Management guided for core growth to </w:t>
      </w:r>
      <w:r>
        <w:rPr>
          <w:rFonts w:ascii="Calibri" w:hAnsi="Calibri"/>
          <w:b/>
          <w:color w:val="525866"/>
          <w:sz w:val="22"/>
        </w:rPr>
        <w:t>accelerate as the year progresses</w:t>
      </w:r>
      <w:r>
        <w:rPr>
          <w:rFonts w:ascii="Calibri" w:hAnsi="Calibri"/>
          <w:color w:val="525866"/>
          <w:sz w:val="22"/>
        </w:rPr>
        <w:t xml:space="preserve"> and raised full-year adjusted EPS guidance to $4.20–$4.28 after Q1, signaling confidence in the trajectory — a tone that is notably more constructive than the cautious posture at Q4 2025. Estimate revisions have been modestly positive since the Q1 print, with FY2026 EPS consensus moving from $4.250 to $4.255 and Q2 EPS from $1.000 to $1.008, suggesting the Street is broadly aligned with guidance rather than running ahead of it. The stock has rallied ~10% since the Q1 earnings date (from ~$85.60 to ~$94.28 as of July 28), outperforming XLI, which means some beat is already priced in and the reaction function is asymmetric — a miss or guidance hold would likely be punished more than a beat would be rewarded. The key wildcard is </w:t>
      </w:r>
      <w:r>
        <w:rPr>
          <w:rFonts w:ascii="Calibri" w:hAnsi="Calibri"/>
          <w:b/>
          <w:color w:val="525866"/>
          <w:sz w:val="22"/>
        </w:rPr>
        <w:t>PQI segment recovery</w:t>
      </w:r>
      <w:r>
        <w:rPr>
          <w:rFonts w:ascii="Calibri" w:hAnsi="Calibri"/>
          <w:color w:val="525866"/>
          <w:sz w:val="22"/>
        </w:rPr>
        <w:t>: management flagged Q2 PQI margins would be impacted by mix, and if the discrete industrial end-market weakness (automotive, textiles, building materials) persists longer than expected, PQI core growth could again disappoint vs. the ~2.5% consensus, dragging the overall core growth print below the ~3.5% expectation.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not stretched, but not low either. </w:t>
      </w:r>
      <w:r>
        <w:rPr>
          <w:rFonts w:ascii="Calibri" w:hAnsi="Calibri"/>
          <w:b/>
          <w:color w:val="525866"/>
          <w:sz w:val="22"/>
        </w:rPr>
        <w:t>Core sales growth (~3.5% consensus) is the bigger swing factor</w:t>
      </w:r>
      <w:r>
        <w:rPr>
          <w:rFonts w:ascii="Calibri" w:hAnsi="Calibri"/>
          <w:color w:val="525866"/>
          <w:sz w:val="22"/>
        </w:rPr>
        <w:t xml:space="preserve"> given management's sequential acceleration narrative; adjusted EPS of ~$1.008 is well-supported by the raised FY guide and pricing strength.</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(Raised Q1)</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$1.422B</w:t>
            </w:r>
          </w:p>
        </w:tc>
        <w:tc>
          <w:tcPr>
            <w:tcW w:type="dxa" w:w="1234"/>
          </w:tcPr>
          <w:p>
            <w:r>
              <w:rPr>
                <w:rFonts w:ascii="Calibri" w:hAnsi="Calibri"/>
                <w:sz w:val="22"/>
              </w:rPr>
              <w:t>$1.371B</w:t>
            </w:r>
          </w:p>
        </w:tc>
        <w:tc>
          <w:tcPr>
            <w:tcW w:type="dxa" w:w="1234"/>
          </w:tcPr>
          <w:p>
            <w:r>
              <w:rPr>
                <w:rFonts w:ascii="Calibri" w:hAnsi="Calibri"/>
                <w:sz w:val="22"/>
              </w:rPr>
              <w:t>$1.455B</w:t>
            </w:r>
          </w:p>
        </w:tc>
        <w:tc>
          <w:tcPr>
            <w:tcW w:type="dxa" w:w="1234"/>
          </w:tcPr>
          <w:p>
            <w:r>
              <w:rPr>
                <w:rFonts w:ascii="Calibri" w:hAnsi="Calibri"/>
                <w:sz w:val="22"/>
              </w:rPr>
              <w:t>+6.1%</w:t>
            </w:r>
          </w:p>
        </w:tc>
        <w:tc>
          <w:tcPr>
            <w:tcW w:type="dxa" w:w="1234"/>
          </w:tcPr>
          <w:p>
            <w:r>
              <w:rPr>
                <w:rFonts w:ascii="Calibri" w:hAnsi="Calibri"/>
                <w:sz w:val="22"/>
              </w:rPr>
              <w:t>$5.875B (FY cons.)</w:t>
            </w:r>
          </w:p>
        </w:tc>
        <w:tc>
          <w:tcPr>
            <w:tcW w:type="dxa" w:w="1234"/>
          </w:tcPr>
          <w:p>
            <w:r>
              <w:rPr>
                <w:rFonts w:ascii="Calibri" w:hAnsi="Calibri"/>
                <w:sz w:val="22"/>
              </w:rPr>
              <w:t>N/A — no Q2 rev. guidance</w:t>
            </w:r>
          </w:p>
        </w:tc>
      </w:tr>
      <w:tr>
        <w:tc>
          <w:tcPr>
            <w:tcW w:type="dxa" w:w="1234"/>
          </w:tcPr>
          <w:p>
            <w:r>
              <w:rPr>
                <w:rFonts w:ascii="Calibri" w:hAnsi="Calibri"/>
                <w:sz w:val="22"/>
              </w:rPr>
              <w:t>Core Sales Growth (%)</w:t>
            </w:r>
          </w:p>
        </w:tc>
        <w:tc>
          <w:tcPr>
            <w:tcW w:type="dxa" w:w="1234"/>
          </w:tcPr>
          <w:p>
            <w:r>
              <w:rPr>
                <w:rFonts w:ascii="Calibri" w:hAnsi="Calibri"/>
                <w:sz w:val="22"/>
              </w:rPr>
              <w:t>1.9%</w:t>
            </w:r>
          </w:p>
        </w:tc>
        <w:tc>
          <w:tcPr>
            <w:tcW w:type="dxa" w:w="1234"/>
          </w:tcPr>
          <w:p>
            <w:r>
              <w:rPr>
                <w:rFonts w:ascii="Calibri" w:hAnsi="Calibri"/>
                <w:sz w:val="22"/>
              </w:rPr>
              <w:t>4.8%</w:t>
            </w:r>
          </w:p>
        </w:tc>
        <w:tc>
          <w:tcPr>
            <w:tcW w:type="dxa" w:w="1234"/>
          </w:tcPr>
          <w:p>
            <w:r>
              <w:rPr>
                <w:rFonts w:ascii="Calibri" w:hAnsi="Calibri"/>
                <w:sz w:val="22"/>
              </w:rPr>
              <w:t>~3.5%</w:t>
            </w:r>
          </w:p>
        </w:tc>
        <w:tc>
          <w:tcPr>
            <w:tcW w:type="dxa" w:w="1234"/>
          </w:tcPr>
          <w:p>
            <w:r>
              <w:rPr>
                <w:rFonts w:ascii="Calibri" w:hAnsi="Calibri"/>
                <w:sz w:val="22"/>
              </w:rPr>
              <w:t>~(130 bps) vs. PY</w:t>
            </w:r>
          </w:p>
        </w:tc>
        <w:tc>
          <w:tcPr>
            <w:tcW w:type="dxa" w:w="1234"/>
          </w:tcPr>
          <w:p>
            <w:r>
              <w:rPr>
                <w:rFonts w:ascii="Calibri" w:hAnsi="Calibri"/>
                <w:sz w:val="22"/>
              </w:rPr>
              <w:t>Low-to-mid single digit (FY)</w:t>
            </w:r>
          </w:p>
        </w:tc>
        <w:tc>
          <w:tcPr>
            <w:tcW w:type="dxa" w:w="1234"/>
          </w:tcPr>
          <w:p>
            <w:r>
              <w:rPr>
                <w:rFonts w:ascii="Calibri" w:hAnsi="Calibri"/>
                <w:sz w:val="22"/>
              </w:rPr>
              <w:t>Within guidance range</w:t>
            </w:r>
          </w:p>
        </w:tc>
      </w:tr>
      <w:tr>
        <w:tc>
          <w:tcPr>
            <w:tcW w:type="dxa" w:w="1234"/>
          </w:tcPr>
          <w:p>
            <w:r>
              <w:rPr>
                <w:rFonts w:ascii="Calibri" w:hAnsi="Calibri"/>
                <w:sz w:val="22"/>
              </w:rPr>
              <w:t>Core Sales Growth — Water Quality (%)</w:t>
            </w:r>
          </w:p>
        </w:tc>
        <w:tc>
          <w:tcPr>
            <w:tcW w:type="dxa" w:w="1234"/>
          </w:tcPr>
          <w:p>
            <w:r>
              <w:rPr>
                <w:rFonts w:ascii="Calibri" w:hAnsi="Calibri"/>
                <w:sz w:val="22"/>
              </w:rPr>
              <w:t>3.8%</w:t>
            </w:r>
          </w:p>
        </w:tc>
        <w:tc>
          <w:tcPr>
            <w:tcW w:type="dxa" w:w="1234"/>
          </w:tcPr>
          <w:p>
            <w:r>
              <w:rPr>
                <w:rFonts w:ascii="Calibri" w:hAnsi="Calibri"/>
                <w:sz w:val="22"/>
              </w:rPr>
              <w:t>5.0%</w:t>
            </w:r>
          </w:p>
        </w:tc>
        <w:tc>
          <w:tcPr>
            <w:tcW w:type="dxa" w:w="1234"/>
          </w:tcPr>
          <w:p>
            <w:r>
              <w:rPr>
                <w:rFonts w:ascii="Calibri" w:hAnsi="Calibri"/>
                <w:sz w:val="22"/>
              </w:rPr>
              <w:t>~4.2%</w:t>
            </w:r>
          </w:p>
        </w:tc>
        <w:tc>
          <w:tcPr>
            <w:tcW w:type="dxa" w:w="1234"/>
          </w:tcPr>
          <w:p>
            <w:r>
              <w:rPr>
                <w:rFonts w:ascii="Calibri" w:hAnsi="Calibri"/>
                <w:sz w:val="22"/>
              </w:rPr>
              <w:t>~(80 bps) vs. PY</w:t>
            </w:r>
          </w:p>
        </w:tc>
        <w:tc>
          <w:tcPr>
            <w:tcW w:type="dxa" w:w="1234"/>
          </w:tcPr>
          <w:p>
            <w:r>
              <w:rPr>
                <w:rFonts w:ascii="Calibri" w:hAnsi="Calibri"/>
                <w:sz w:val="22"/>
              </w:rPr>
              <w:t>Mid-single digit (segment)</w:t>
            </w:r>
          </w:p>
        </w:tc>
        <w:tc>
          <w:tcPr>
            <w:tcW w:type="dxa" w:w="1234"/>
          </w:tcPr>
          <w:p>
            <w:r>
              <w:rPr>
                <w:rFonts w:ascii="Calibri" w:hAnsi="Calibri"/>
                <w:sz w:val="22"/>
              </w:rPr>
              <w:t>Within guidance range</w:t>
            </w:r>
          </w:p>
        </w:tc>
      </w:tr>
      <w:tr>
        <w:tc>
          <w:tcPr>
            <w:tcW w:type="dxa" w:w="1234"/>
          </w:tcPr>
          <w:p>
            <w:r>
              <w:rPr>
                <w:rFonts w:ascii="Calibri" w:hAnsi="Calibri"/>
                <w:sz w:val="22"/>
              </w:rPr>
              <w:t>Core Sales Growth — PQI (%)</w:t>
            </w:r>
          </w:p>
        </w:tc>
        <w:tc>
          <w:tcPr>
            <w:tcW w:type="dxa" w:w="1234"/>
          </w:tcPr>
          <w:p>
            <w:r>
              <w:rPr>
                <w:rFonts w:ascii="Calibri" w:hAnsi="Calibri"/>
                <w:sz w:val="22"/>
              </w:rPr>
              <w:t>-1.0%</w:t>
            </w:r>
          </w:p>
        </w:tc>
        <w:tc>
          <w:tcPr>
            <w:tcW w:type="dxa" w:w="1234"/>
          </w:tcPr>
          <w:p>
            <w:r>
              <w:rPr>
                <w:rFonts w:ascii="Calibri" w:hAnsi="Calibri"/>
                <w:sz w:val="22"/>
              </w:rPr>
              <w:t>4.6%</w:t>
            </w:r>
          </w:p>
        </w:tc>
        <w:tc>
          <w:tcPr>
            <w:tcW w:type="dxa" w:w="1234"/>
          </w:tcPr>
          <w:p>
            <w:r>
              <w:rPr>
                <w:rFonts w:ascii="Calibri" w:hAnsi="Calibri"/>
                <w:sz w:val="22"/>
              </w:rPr>
              <w:t>~2.5%</w:t>
            </w:r>
          </w:p>
        </w:tc>
        <w:tc>
          <w:tcPr>
            <w:tcW w:type="dxa" w:w="1234"/>
          </w:tcPr>
          <w:p>
            <w:r>
              <w:rPr>
                <w:rFonts w:ascii="Calibri" w:hAnsi="Calibri"/>
                <w:sz w:val="22"/>
              </w:rPr>
              <w:t>~(210 bps) vs. PY</w:t>
            </w:r>
          </w:p>
        </w:tc>
        <w:tc>
          <w:tcPr>
            <w:tcW w:type="dxa" w:w="1234"/>
          </w:tcPr>
          <w:p>
            <w:r>
              <w:rPr>
                <w:rFonts w:ascii="Calibri" w:hAnsi="Calibri"/>
                <w:sz w:val="22"/>
              </w:rPr>
              <w:t>Recovery expected (mgmt.)</w:t>
            </w:r>
          </w:p>
        </w:tc>
        <w:tc>
          <w:tcPr>
            <w:tcW w:type="dxa" w:w="1234"/>
          </w:tcPr>
          <w:p>
            <w:r>
              <w:rPr>
                <w:rFonts w:ascii="Calibri" w:hAnsi="Calibri"/>
                <w:sz w:val="22"/>
              </w:rPr>
              <w:t>N/A — no segment guidance</w:t>
            </w:r>
          </w:p>
        </w:tc>
      </w:tr>
      <w:tr>
        <w:tc>
          <w:tcPr>
            <w:tcW w:type="dxa" w:w="1234"/>
          </w:tcPr>
          <w:p>
            <w:r>
              <w:rPr>
                <w:rFonts w:ascii="Calibri" w:hAnsi="Calibri"/>
                <w:sz w:val="22"/>
              </w:rPr>
              <w:t>Adj. EPS — Diluted (Operating) ($)</w:t>
            </w:r>
          </w:p>
        </w:tc>
        <w:tc>
          <w:tcPr>
            <w:tcW w:type="dxa" w:w="1234"/>
          </w:tcPr>
          <w:p>
            <w:r>
              <w:rPr>
                <w:rFonts w:ascii="Calibri" w:hAnsi="Calibri"/>
                <w:sz w:val="22"/>
              </w:rPr>
              <w:t>$1.07</w:t>
            </w:r>
          </w:p>
        </w:tc>
        <w:tc>
          <w:tcPr>
            <w:tcW w:type="dxa" w:w="1234"/>
          </w:tcPr>
          <w:p>
            <w:r>
              <w:rPr>
                <w:rFonts w:ascii="Calibri" w:hAnsi="Calibri"/>
                <w:sz w:val="22"/>
              </w:rPr>
              <w:t>$0.93</w:t>
            </w:r>
          </w:p>
        </w:tc>
        <w:tc>
          <w:tcPr>
            <w:tcW w:type="dxa" w:w="1234"/>
          </w:tcPr>
          <w:p>
            <w:r>
              <w:rPr>
                <w:rFonts w:ascii="Calibri" w:hAnsi="Calibri"/>
                <w:sz w:val="22"/>
              </w:rPr>
              <w:t>$1.008</w:t>
            </w:r>
          </w:p>
        </w:tc>
        <w:tc>
          <w:tcPr>
            <w:tcW w:type="dxa" w:w="1234"/>
          </w:tcPr>
          <w:p>
            <w:r>
              <w:rPr>
                <w:rFonts w:ascii="Calibri" w:hAnsi="Calibri"/>
                <w:sz w:val="22"/>
              </w:rPr>
              <w:t>+8.4%</w:t>
            </w:r>
          </w:p>
        </w:tc>
        <w:tc>
          <w:tcPr>
            <w:tcW w:type="dxa" w:w="1234"/>
          </w:tcPr>
          <w:p>
            <w:r>
              <w:rPr>
                <w:rFonts w:ascii="Calibri" w:hAnsi="Calibri"/>
                <w:sz w:val="22"/>
              </w:rPr>
              <w:t>$4.20–$4.28 (FY)</w:t>
            </w:r>
          </w:p>
        </w:tc>
        <w:tc>
          <w:tcPr>
            <w:tcW w:type="dxa" w:w="1234"/>
          </w:tcPr>
          <w:p>
            <w:r>
              <w:rPr>
                <w:rFonts w:ascii="Calibri" w:hAnsi="Calibri"/>
                <w:sz w:val="22"/>
              </w:rPr>
              <w:t>~(0.5%) below midpoint</w:t>
            </w:r>
          </w:p>
        </w:tc>
      </w:tr>
      <w:tr>
        <w:tc>
          <w:tcPr>
            <w:tcW w:type="dxa" w:w="1234"/>
          </w:tcPr>
          <w:p>
            <w:r>
              <w:rPr>
                <w:rFonts w:ascii="Calibri" w:hAnsi="Calibri"/>
                <w:sz w:val="22"/>
              </w:rPr>
              <w:t>Free Cash Flow ($M)</w:t>
            </w:r>
          </w:p>
        </w:tc>
        <w:tc>
          <w:tcPr>
            <w:tcW w:type="dxa" w:w="1234"/>
          </w:tcPr>
          <w:p>
            <w:r>
              <w:rPr>
                <w:rFonts w:ascii="Calibri" w:hAnsi="Calibri"/>
                <w:sz w:val="22"/>
              </w:rPr>
              <w:t>$170M</w:t>
            </w:r>
          </w:p>
        </w:tc>
        <w:tc>
          <w:tcPr>
            <w:tcW w:type="dxa" w:w="1234"/>
          </w:tcPr>
          <w:p>
            <w:r>
              <w:rPr>
                <w:rFonts w:ascii="Calibri" w:hAnsi="Calibri"/>
                <w:sz w:val="22"/>
              </w:rPr>
              <w:t>$323M</w:t>
            </w:r>
          </w:p>
        </w:tc>
        <w:tc>
          <w:tcPr>
            <w:tcW w:type="dxa" w:w="1234"/>
          </w:tcPr>
          <w:p>
            <w:r>
              <w:rPr>
                <w:rFonts w:ascii="Calibri" w:hAnsi="Calibri"/>
                <w:sz w:val="22"/>
              </w:rPr>
              <w:t>$309M</w:t>
            </w:r>
          </w:p>
        </w:tc>
        <w:tc>
          <w:tcPr>
            <w:tcW w:type="dxa" w:w="1234"/>
          </w:tcPr>
          <w:p>
            <w:r>
              <w:rPr>
                <w:rFonts w:ascii="Calibri" w:hAnsi="Calibri"/>
                <w:sz w:val="22"/>
              </w:rPr>
              <w:t>-4.3% vs. PY</w:t>
            </w:r>
          </w:p>
        </w:tc>
        <w:tc>
          <w:tcPr>
            <w:tcW w:type="dxa" w:w="1234"/>
          </w:tcPr>
          <w:p>
            <w:r>
              <w:rPr>
                <w:rFonts w:ascii="Calibri" w:hAnsi="Calibri"/>
                <w:sz w:val="22"/>
              </w:rPr>
              <w:t>&gt;100% conversion (FY)</w:t>
            </w:r>
          </w:p>
        </w:tc>
        <w:tc>
          <w:tcPr>
            <w:tcW w:type="dxa" w:w="1234"/>
          </w:tcPr>
          <w:p>
            <w:r>
              <w:rPr>
                <w:rFonts w:ascii="Calibri" w:hAnsi="Calibri"/>
                <w:sz w:val="22"/>
              </w:rPr>
              <w:t>N/A — no Q2 FCF guidance</w:t>
            </w:r>
          </w:p>
        </w:tc>
      </w:tr>
    </w:tbl>
    <w:p>
      <w:r>
        <w:rPr>
          <w:rFonts w:ascii="Calibri" w:hAnsi="Calibri"/>
          <w:i/>
          <w:color w:val="525866"/>
          <w:sz w:val="22"/>
        </w:rPr>
        <w:t>Sources: Visible Alpha Consensus and Actuals Data. All consensus figures as of July 28, 2026. Q2 2026 core growth segment splits are derived from VA consensus. FY2026 guidance range per Q1 2026 earnings call (April 29, 2026). FCF Q2 2025 actual = $323M; Q2 2026 consensus = $309M.</w:t>
      </w:r>
    </w:p>
    <w:p>
      <w:pPr>
        <w:pStyle w:val="Heading3"/>
      </w:pPr>
      <w:r>
        <w:rPr>
          <w:rFonts w:ascii="Calibri" w:hAnsi="Calibri"/>
          <w:b/>
          <w:color w:val="3B4259"/>
          <w:sz w:val="24"/>
        </w:rPr>
        <w:t>Table 2 — Beat / Miss History (Last 8 Quarters, Top 2 KPIs)</w:t>
      </w:r>
    </w:p>
    <w:p>
      <w:r>
        <w:rPr>
          <w:rFonts w:ascii="Calibri" w:hAnsi="Calibri"/>
          <w:b/>
          <w:color w:val="525866"/>
          <w:sz w:val="22"/>
        </w:rPr>
        <w:t>Top 2 KPIs: (1) Adjusted EPS — Diluted (Operating) | (2) Core Sales Growth (%)</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Core Growth Reported</w:t>
            </w:r>
          </w:p>
        </w:tc>
        <w:tc>
          <w:tcPr>
            <w:tcW w:type="dxa" w:w="960"/>
            <w:shd w:val="clear" w:color="auto" w:fill="3B4259"/>
          </w:tcPr>
          <w:p>
            <w:r>
              <w:rPr>
                <w:rFonts w:ascii="Calibri" w:hAnsi="Calibri"/>
                <w:b/>
                <w:color w:val="FFFFFF"/>
                <w:sz w:val="22"/>
              </w:rPr>
              <w:t>Core Growth Consensus</w:t>
            </w:r>
          </w:p>
        </w:tc>
        <w:tc>
          <w:tcPr>
            <w:tcW w:type="dxa" w:w="960"/>
            <w:shd w:val="clear" w:color="auto" w:fill="3B4259"/>
          </w:tcPr>
          <w:p>
            <w:r>
              <w:rPr>
                <w:rFonts w:ascii="Calibri" w:hAnsi="Calibri"/>
                <w:b/>
                <w:color w:val="FFFFFF"/>
                <w:sz w:val="22"/>
              </w:rPr>
              <w:t>Core Growth Surprise</w:t>
            </w:r>
          </w:p>
        </w:tc>
        <w:tc>
          <w:tcPr>
            <w:tcW w:type="dxa" w:w="960"/>
            <w:shd w:val="clear" w:color="auto" w:fill="3B4259"/>
          </w:tcPr>
          <w:p>
            <w:r>
              <w:rPr>
                <w:rFonts w:ascii="Calibri" w:hAnsi="Calibri"/>
                <w:b/>
                <w:color w:val="FFFFFF"/>
                <w:sz w:val="22"/>
              </w:rPr>
              <w:t>Core Growth Result</w:t>
            </w:r>
          </w:p>
        </w:tc>
      </w:tr>
      <w:tr>
        <w:tc>
          <w:tcPr>
            <w:tcW w:type="dxa" w:w="960"/>
          </w:tcPr>
          <w:p>
            <w:r>
              <w:rPr>
                <w:rFonts w:ascii="Calibri" w:hAnsi="Calibri"/>
                <w:sz w:val="22"/>
              </w:rPr>
              <w:t>Q2 2024</w:t>
            </w:r>
          </w:p>
        </w:tc>
        <w:tc>
          <w:tcPr>
            <w:tcW w:type="dxa" w:w="960"/>
          </w:tcPr>
          <w:p>
            <w:r>
              <w:rPr>
                <w:rFonts w:ascii="Calibri" w:hAnsi="Calibri"/>
                <w:sz w:val="22"/>
              </w:rPr>
              <w:t>$0.85</w:t>
            </w:r>
          </w:p>
        </w:tc>
        <w:tc>
          <w:tcPr>
            <w:tcW w:type="dxa" w:w="960"/>
          </w:tcPr>
          <w:p>
            <w:r>
              <w:rPr>
                <w:rFonts w:ascii="Calibri" w:hAnsi="Calibri"/>
                <w:sz w:val="22"/>
              </w:rPr>
              <w:t>$0.798</w:t>
            </w:r>
          </w:p>
        </w:tc>
        <w:tc>
          <w:tcPr>
            <w:tcW w:type="dxa" w:w="960"/>
          </w:tcPr>
          <w:p>
            <w:r>
              <w:rPr>
                <w:rFonts w:ascii="Calibri" w:hAnsi="Calibri"/>
                <w:b/>
                <w:color w:val="30A46C"/>
                <w:sz w:val="22"/>
              </w:rPr>
              <w:t>+6.5%</w:t>
            </w:r>
          </w:p>
        </w:tc>
        <w:tc>
          <w:tcPr>
            <w:tcW w:type="dxa" w:w="960"/>
          </w:tcPr>
          <w:p>
            <w:r>
              <w:rPr>
                <w:rFonts w:ascii="Calibri" w:hAnsi="Calibri"/>
                <w:b/>
                <w:color w:val="30A46C"/>
                <w:sz w:val="22"/>
              </w:rPr>
              <w:t>BEAT</w:t>
            </w:r>
          </w:p>
        </w:tc>
        <w:tc>
          <w:tcPr>
            <w:tcW w:type="dxa" w:w="960"/>
          </w:tcPr>
          <w:p>
            <w:r>
              <w:rPr>
                <w:rFonts w:ascii="Calibri" w:hAnsi="Calibri"/>
                <w:sz w:val="22"/>
              </w:rPr>
              <w:t>3.8%</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Q3 2024</w:t>
            </w:r>
          </w:p>
        </w:tc>
        <w:tc>
          <w:tcPr>
            <w:tcW w:type="dxa" w:w="960"/>
          </w:tcPr>
          <w:p>
            <w:r>
              <w:rPr>
                <w:rFonts w:ascii="Calibri" w:hAnsi="Calibri"/>
                <w:sz w:val="22"/>
              </w:rPr>
              <w:t>$0.89</w:t>
            </w:r>
          </w:p>
        </w:tc>
        <w:tc>
          <w:tcPr>
            <w:tcW w:type="dxa" w:w="960"/>
          </w:tcPr>
          <w:p>
            <w:r>
              <w:rPr>
                <w:rFonts w:ascii="Calibri" w:hAnsi="Calibri"/>
                <w:sz w:val="22"/>
              </w:rPr>
              <w:t>$0.850</w:t>
            </w:r>
          </w:p>
        </w:tc>
        <w:tc>
          <w:tcPr>
            <w:tcW w:type="dxa" w:w="960"/>
          </w:tcPr>
          <w:p>
            <w:r>
              <w:rPr>
                <w:rFonts w:ascii="Calibri" w:hAnsi="Calibri"/>
                <w:b/>
                <w:color w:val="30A46C"/>
                <w:sz w:val="22"/>
              </w:rPr>
              <w:t>+4.7%</w:t>
            </w:r>
          </w:p>
        </w:tc>
        <w:tc>
          <w:tcPr>
            <w:tcW w:type="dxa" w:w="960"/>
          </w:tcPr>
          <w:p>
            <w:r>
              <w:rPr>
                <w:rFonts w:ascii="Calibri" w:hAnsi="Calibri"/>
                <w:b/>
                <w:color w:val="30A46C"/>
                <w:sz w:val="22"/>
              </w:rPr>
              <w:t>BEAT</w:t>
            </w:r>
          </w:p>
        </w:tc>
        <w:tc>
          <w:tcPr>
            <w:tcW w:type="dxa" w:w="960"/>
          </w:tcPr>
          <w:p>
            <w:r>
              <w:rPr>
                <w:rFonts w:ascii="Calibri" w:hAnsi="Calibri"/>
                <w:sz w:val="22"/>
              </w:rPr>
              <w:t>4.6%</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Q4 2024</w:t>
            </w:r>
          </w:p>
        </w:tc>
        <w:tc>
          <w:tcPr>
            <w:tcW w:type="dxa" w:w="960"/>
          </w:tcPr>
          <w:p>
            <w:r>
              <w:rPr>
                <w:rFonts w:ascii="Calibri" w:hAnsi="Calibri"/>
                <w:sz w:val="22"/>
              </w:rPr>
              <w:t>$0.95</w:t>
            </w:r>
          </w:p>
        </w:tc>
        <w:tc>
          <w:tcPr>
            <w:tcW w:type="dxa" w:w="960"/>
          </w:tcPr>
          <w:p>
            <w:r>
              <w:rPr>
                <w:rFonts w:ascii="Calibri" w:hAnsi="Calibri"/>
                <w:sz w:val="22"/>
              </w:rPr>
              <w:t>$0.894</w:t>
            </w:r>
          </w:p>
        </w:tc>
        <w:tc>
          <w:tcPr>
            <w:tcW w:type="dxa" w:w="960"/>
          </w:tcPr>
          <w:p>
            <w:r>
              <w:rPr>
                <w:rFonts w:ascii="Calibri" w:hAnsi="Calibri"/>
                <w:b/>
                <w:color w:val="30A46C"/>
                <w:sz w:val="22"/>
              </w:rPr>
              <w:t>+6.3%</w:t>
            </w:r>
          </w:p>
        </w:tc>
        <w:tc>
          <w:tcPr>
            <w:tcW w:type="dxa" w:w="960"/>
          </w:tcPr>
          <w:p>
            <w:r>
              <w:rPr>
                <w:rFonts w:ascii="Calibri" w:hAnsi="Calibri"/>
                <w:b/>
                <w:color w:val="30A46C"/>
                <w:sz w:val="22"/>
              </w:rPr>
              <w:t>BEAT</w:t>
            </w:r>
          </w:p>
        </w:tc>
        <w:tc>
          <w:tcPr>
            <w:tcW w:type="dxa" w:w="960"/>
          </w:tcPr>
          <w:p>
            <w:r>
              <w:rPr>
                <w:rFonts w:ascii="Calibri" w:hAnsi="Calibri"/>
                <w:sz w:val="22"/>
              </w:rPr>
              <w:t>4.6%</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Q1 2025</w:t>
            </w:r>
          </w:p>
        </w:tc>
        <w:tc>
          <w:tcPr>
            <w:tcW w:type="dxa" w:w="960"/>
          </w:tcPr>
          <w:p>
            <w:r>
              <w:rPr>
                <w:rFonts w:ascii="Calibri" w:hAnsi="Calibri"/>
                <w:sz w:val="22"/>
              </w:rPr>
              <w:t>$0.95</w:t>
            </w:r>
          </w:p>
        </w:tc>
        <w:tc>
          <w:tcPr>
            <w:tcW w:type="dxa" w:w="960"/>
          </w:tcPr>
          <w:p>
            <w:r>
              <w:rPr>
                <w:rFonts w:ascii="Calibri" w:hAnsi="Calibri"/>
                <w:sz w:val="22"/>
              </w:rPr>
              <w:t>$0.867</w:t>
            </w:r>
          </w:p>
        </w:tc>
        <w:tc>
          <w:tcPr>
            <w:tcW w:type="dxa" w:w="960"/>
          </w:tcPr>
          <w:p>
            <w:r>
              <w:rPr>
                <w:rFonts w:ascii="Calibri" w:hAnsi="Calibri"/>
                <w:b/>
                <w:color w:val="30A46C"/>
                <w:sz w:val="22"/>
              </w:rPr>
              <w:t>+9.6%</w:t>
            </w:r>
          </w:p>
        </w:tc>
        <w:tc>
          <w:tcPr>
            <w:tcW w:type="dxa" w:w="960"/>
          </w:tcPr>
          <w:p>
            <w:r>
              <w:rPr>
                <w:rFonts w:ascii="Calibri" w:hAnsi="Calibri"/>
                <w:b/>
                <w:color w:val="30A46C"/>
                <w:sz w:val="22"/>
              </w:rPr>
              <w:t>BEAT</w:t>
            </w:r>
          </w:p>
        </w:tc>
        <w:tc>
          <w:tcPr>
            <w:tcW w:type="dxa" w:w="960"/>
          </w:tcPr>
          <w:p>
            <w:r>
              <w:rPr>
                <w:rFonts w:ascii="Calibri" w:hAnsi="Calibri"/>
                <w:sz w:val="22"/>
              </w:rPr>
              <w:t>7.8%</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Q2 2025</w:t>
            </w:r>
          </w:p>
        </w:tc>
        <w:tc>
          <w:tcPr>
            <w:tcW w:type="dxa" w:w="960"/>
          </w:tcPr>
          <w:p>
            <w:r>
              <w:rPr>
                <w:rFonts w:ascii="Calibri" w:hAnsi="Calibri"/>
                <w:sz w:val="22"/>
              </w:rPr>
              <w:t>$0.93</w:t>
            </w:r>
          </w:p>
        </w:tc>
        <w:tc>
          <w:tcPr>
            <w:tcW w:type="dxa" w:w="960"/>
          </w:tcPr>
          <w:p>
            <w:r>
              <w:rPr>
                <w:rFonts w:ascii="Calibri" w:hAnsi="Calibri"/>
                <w:sz w:val="22"/>
              </w:rPr>
              <w:t>$0.885</w:t>
            </w:r>
          </w:p>
        </w:tc>
        <w:tc>
          <w:tcPr>
            <w:tcW w:type="dxa" w:w="960"/>
          </w:tcPr>
          <w:p>
            <w:r>
              <w:rPr>
                <w:rFonts w:ascii="Calibri" w:hAnsi="Calibri"/>
                <w:b/>
                <w:color w:val="30A46C"/>
                <w:sz w:val="22"/>
              </w:rPr>
              <w:t>+5.1%</w:t>
            </w:r>
          </w:p>
        </w:tc>
        <w:tc>
          <w:tcPr>
            <w:tcW w:type="dxa" w:w="960"/>
          </w:tcPr>
          <w:p>
            <w:r>
              <w:rPr>
                <w:rFonts w:ascii="Calibri" w:hAnsi="Calibri"/>
                <w:b/>
                <w:color w:val="30A46C"/>
                <w:sz w:val="22"/>
              </w:rPr>
              <w:t>BEAT</w:t>
            </w:r>
          </w:p>
        </w:tc>
        <w:tc>
          <w:tcPr>
            <w:tcW w:type="dxa" w:w="960"/>
          </w:tcPr>
          <w:p>
            <w:r>
              <w:rPr>
                <w:rFonts w:ascii="Calibri" w:hAnsi="Calibri"/>
                <w:sz w:val="22"/>
              </w:rPr>
              <w:t>4.8%</w:t>
            </w:r>
          </w:p>
        </w:tc>
        <w:tc>
          <w:tcPr>
            <w:tcW w:type="dxa" w:w="960"/>
          </w:tcPr>
          <w:p>
            <w:r>
              <w:rPr>
                <w:rFonts w:ascii="Calibri" w:hAnsi="Calibri"/>
                <w:sz w:val="22"/>
              </w:rPr>
              <w:t>4.4%</w:t>
            </w:r>
          </w:p>
        </w:tc>
        <w:tc>
          <w:tcPr>
            <w:tcW w:type="dxa" w:w="960"/>
          </w:tcPr>
          <w:p>
            <w:r>
              <w:rPr>
                <w:rFonts w:ascii="Calibri" w:hAnsi="Calibri"/>
                <w:b/>
                <w:color w:val="30A46C"/>
                <w:sz w:val="22"/>
              </w:rPr>
              <w:t>+40 bps</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$0.99</w:t>
            </w:r>
          </w:p>
        </w:tc>
        <w:tc>
          <w:tcPr>
            <w:tcW w:type="dxa" w:w="960"/>
          </w:tcPr>
          <w:p>
            <w:r>
              <w:rPr>
                <w:rFonts w:ascii="Calibri" w:hAnsi="Calibri"/>
                <w:sz w:val="22"/>
              </w:rPr>
              <w:t>$0.950</w:t>
            </w:r>
          </w:p>
        </w:tc>
        <w:tc>
          <w:tcPr>
            <w:tcW w:type="dxa" w:w="960"/>
          </w:tcPr>
          <w:p>
            <w:r>
              <w:rPr>
                <w:rFonts w:ascii="Calibri" w:hAnsi="Calibri"/>
                <w:b/>
                <w:color w:val="30A46C"/>
                <w:sz w:val="22"/>
              </w:rPr>
              <w:t>+4.2%</w:t>
            </w:r>
          </w:p>
        </w:tc>
        <w:tc>
          <w:tcPr>
            <w:tcW w:type="dxa" w:w="960"/>
          </w:tcPr>
          <w:p>
            <w:r>
              <w:rPr>
                <w:rFonts w:ascii="Calibri" w:hAnsi="Calibri"/>
                <w:b/>
                <w:color w:val="30A46C"/>
                <w:sz w:val="22"/>
              </w:rPr>
              <w:t>BEAT</w:t>
            </w:r>
          </w:p>
        </w:tc>
        <w:tc>
          <w:tcPr>
            <w:tcW w:type="dxa" w:w="960"/>
          </w:tcPr>
          <w:p>
            <w:r>
              <w:rPr>
                <w:rFonts w:ascii="Calibri" w:hAnsi="Calibri"/>
                <w:sz w:val="22"/>
              </w:rPr>
              <w:t>5.1%</w:t>
            </w:r>
          </w:p>
        </w:tc>
        <w:tc>
          <w:tcPr>
            <w:tcW w:type="dxa" w:w="960"/>
          </w:tcPr>
          <w:p>
            <w:r>
              <w:rPr>
                <w:rFonts w:ascii="Calibri" w:hAnsi="Calibri"/>
                <w:sz w:val="22"/>
              </w:rPr>
              <w:t>4.7%</w:t>
            </w:r>
          </w:p>
        </w:tc>
        <w:tc>
          <w:tcPr>
            <w:tcW w:type="dxa" w:w="960"/>
          </w:tcPr>
          <w:p>
            <w:r>
              <w:rPr>
                <w:rFonts w:ascii="Calibri" w:hAnsi="Calibri"/>
                <w:b/>
                <w:color w:val="30A46C"/>
                <w:sz w:val="22"/>
              </w:rPr>
              <w:t>+40 bps</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$1.04</w:t>
            </w:r>
          </w:p>
        </w:tc>
        <w:tc>
          <w:tcPr>
            <w:tcW w:type="dxa" w:w="960"/>
          </w:tcPr>
          <w:p>
            <w:r>
              <w:rPr>
                <w:rFonts w:ascii="Calibri" w:hAnsi="Calibri"/>
                <w:sz w:val="22"/>
              </w:rPr>
              <w:t>$0.979</w:t>
            </w:r>
          </w:p>
        </w:tc>
        <w:tc>
          <w:tcPr>
            <w:tcW w:type="dxa" w:w="960"/>
          </w:tcPr>
          <w:p>
            <w:r>
              <w:rPr>
                <w:rFonts w:ascii="Calibri" w:hAnsi="Calibri"/>
                <w:b/>
                <w:color w:val="30A46C"/>
                <w:sz w:val="22"/>
              </w:rPr>
              <w:t>+6.2%</w:t>
            </w:r>
          </w:p>
        </w:tc>
        <w:tc>
          <w:tcPr>
            <w:tcW w:type="dxa" w:w="960"/>
          </w:tcPr>
          <w:p>
            <w:r>
              <w:rPr>
                <w:rFonts w:ascii="Calibri" w:hAnsi="Calibri"/>
                <w:b/>
                <w:color w:val="30A46C"/>
                <w:sz w:val="22"/>
              </w:rPr>
              <w:t>BEAT</w:t>
            </w:r>
          </w:p>
        </w:tc>
        <w:tc>
          <w:tcPr>
            <w:tcW w:type="dxa" w:w="960"/>
          </w:tcPr>
          <w:p>
            <w:r>
              <w:rPr>
                <w:rFonts w:ascii="Calibri" w:hAnsi="Calibri"/>
                <w:sz w:val="22"/>
              </w:rPr>
              <w:t>1.6%</w:t>
            </w:r>
          </w:p>
        </w:tc>
        <w:tc>
          <w:tcPr>
            <w:tcW w:type="dxa" w:w="960"/>
          </w:tcPr>
          <w:p>
            <w:r>
              <w:rPr>
                <w:rFonts w:ascii="Calibri" w:hAnsi="Calibri"/>
                <w:sz w:val="22"/>
              </w:rPr>
              <w:t>2.5%</w:t>
            </w:r>
          </w:p>
        </w:tc>
        <w:tc>
          <w:tcPr>
            <w:tcW w:type="dxa" w:w="960"/>
          </w:tcPr>
          <w:p>
            <w:r>
              <w:rPr>
                <w:rFonts w:ascii="Calibri" w:hAnsi="Calibri"/>
                <w:b/>
                <w:color w:val="E5484D"/>
                <w:sz w:val="22"/>
              </w:rPr>
              <w:t>-90 bps</w:t>
            </w:r>
          </w:p>
        </w:tc>
        <w:tc>
          <w:tcPr>
            <w:tcW w:type="dxa" w:w="960"/>
          </w:tcPr>
          <w:p>
            <w:r>
              <w:rPr>
                <w:rFonts w:ascii="Calibri" w:hAnsi="Calibri"/>
                <w:b/>
                <w:color w:val="E5484D"/>
                <w:sz w:val="22"/>
              </w:rPr>
              <w:t>MISS</w:t>
            </w:r>
          </w:p>
        </w:tc>
      </w:tr>
      <w:tr>
        <w:tc>
          <w:tcPr>
            <w:tcW w:type="dxa" w:w="960"/>
          </w:tcPr>
          <w:p>
            <w:r>
              <w:rPr>
                <w:rFonts w:ascii="Calibri" w:hAnsi="Calibri"/>
                <w:sz w:val="22"/>
              </w:rPr>
              <w:t>Q1 2026</w:t>
            </w:r>
          </w:p>
        </w:tc>
        <w:tc>
          <w:tcPr>
            <w:tcW w:type="dxa" w:w="960"/>
          </w:tcPr>
          <w:p>
            <w:r>
              <w:rPr>
                <w:rFonts w:ascii="Calibri" w:hAnsi="Calibri"/>
                <w:sz w:val="22"/>
              </w:rPr>
              <w:t>$1.07</w:t>
            </w:r>
          </w:p>
        </w:tc>
        <w:tc>
          <w:tcPr>
            <w:tcW w:type="dxa" w:w="960"/>
          </w:tcPr>
          <w:p>
            <w:r>
              <w:rPr>
                <w:rFonts w:ascii="Calibri" w:hAnsi="Calibri"/>
                <w:sz w:val="22"/>
              </w:rPr>
              <w:t>$1.006</w:t>
            </w:r>
          </w:p>
        </w:tc>
        <w:tc>
          <w:tcPr>
            <w:tcW w:type="dxa" w:w="960"/>
          </w:tcPr>
          <w:p>
            <w:r>
              <w:rPr>
                <w:rFonts w:ascii="Calibri" w:hAnsi="Calibri"/>
                <w:b/>
                <w:color w:val="30A46C"/>
                <w:sz w:val="22"/>
              </w:rPr>
              <w:t>+6.4%</w:t>
            </w:r>
          </w:p>
        </w:tc>
        <w:tc>
          <w:tcPr>
            <w:tcW w:type="dxa" w:w="960"/>
          </w:tcPr>
          <w:p>
            <w:r>
              <w:rPr>
                <w:rFonts w:ascii="Calibri" w:hAnsi="Calibri"/>
                <w:b/>
                <w:color w:val="30A46C"/>
                <w:sz w:val="22"/>
              </w:rPr>
              <w:t>BEAT</w:t>
            </w:r>
          </w:p>
        </w:tc>
        <w:tc>
          <w:tcPr>
            <w:tcW w:type="dxa" w:w="960"/>
          </w:tcPr>
          <w:p>
            <w:r>
              <w:rPr>
                <w:rFonts w:ascii="Calibri" w:hAnsi="Calibri"/>
                <w:sz w:val="22"/>
              </w:rPr>
              <w:t>1.9%</w:t>
            </w:r>
          </w:p>
        </w:tc>
        <w:tc>
          <w:tcPr>
            <w:tcW w:type="dxa" w:w="960"/>
          </w:tcPr>
          <w:p>
            <w:r>
              <w:rPr>
                <w:rFonts w:ascii="Calibri" w:hAnsi="Calibri"/>
                <w:sz w:val="22"/>
              </w:rPr>
              <w:t>1.2%</w:t>
            </w:r>
          </w:p>
        </w:tc>
        <w:tc>
          <w:tcPr>
            <w:tcW w:type="dxa" w:w="960"/>
          </w:tcPr>
          <w:p>
            <w:r>
              <w:rPr>
                <w:rFonts w:ascii="Calibri" w:hAnsi="Calibri"/>
                <w:b/>
                <w:color w:val="30A46C"/>
                <w:sz w:val="22"/>
              </w:rPr>
              <w:t>+70 bps</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VLTO has beaten adjusted EPS consensus in all 8 of the last 8 quarters, with an average surprise of ~+6%. Core sales growth has beaten in 3 of the 4 quarters where consensus data is available, with the lone miss in Q4 2025 (1.6% vs. 2.5% expected) driven by shipping day headwinds. The consistent EPS beat pattern reflects strong pricing discipline and VES-driven cost execution, but the core growth record is more mixed, making revenue the higher-risk line.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moved meaningfully higher after Q1 2026 — full-year adjusted EPS raised by ~$0.09 at the midpoint — and management tone shifted from cautious (Q4 2025) to confident, citing pricing at the high end, strong order books, and broad operational execution. No post-Q1 guidance revisions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Feb 4, 2026)</w:t>
            </w:r>
          </w:p>
        </w:tc>
        <w:tc>
          <w:tcPr>
            <w:tcW w:type="dxa" w:w="1728"/>
            <w:shd w:val="clear" w:color="auto" w:fill="3B4259"/>
          </w:tcPr>
          <w:p>
            <w:r>
              <w:rPr>
                <w:rFonts w:ascii="Calibri" w:hAnsi="Calibri"/>
                <w:b/>
                <w:color w:val="FFFFFF"/>
                <w:sz w:val="22"/>
              </w:rPr>
              <w:t>Revised Guidance (Q1 2026 Earnings Call, Apr 29, 2026)</w:t>
            </w:r>
          </w:p>
        </w:tc>
        <w:tc>
          <w:tcPr>
            <w:tcW w:type="dxa" w:w="1728"/>
            <w:shd w:val="clear" w:color="auto" w:fill="3B4259"/>
          </w:tcPr>
          <w:p>
            <w:r>
              <w:rPr>
                <w:rFonts w:ascii="Calibri" w:hAnsi="Calibri"/>
                <w:b/>
                <w:color w:val="FFFFFF"/>
                <w:sz w:val="22"/>
              </w:rPr>
              <w:t>Current Consensus (Jul 28,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$4.10–$4.20 (mid-to-high single-digit growth)</w:t>
            </w:r>
          </w:p>
        </w:tc>
        <w:tc>
          <w:tcPr>
            <w:tcW w:type="dxa" w:w="1728"/>
          </w:tcPr>
          <w:p>
            <w:r>
              <w:rPr>
                <w:rFonts w:ascii="Calibri" w:hAnsi="Calibri"/>
                <w:sz w:val="22"/>
              </w:rPr>
              <w:t>$4.20–$4.28</w:t>
            </w:r>
          </w:p>
        </w:tc>
        <w:tc>
          <w:tcPr>
            <w:tcW w:type="dxa" w:w="1728"/>
          </w:tcPr>
          <w:p>
            <w:r>
              <w:rPr>
                <w:rFonts w:ascii="Calibri" w:hAnsi="Calibri"/>
                <w:sz w:val="22"/>
              </w:rPr>
              <w:t>$4.255</w:t>
            </w:r>
          </w:p>
        </w:tc>
        <w:tc>
          <w:tcPr>
            <w:tcW w:type="dxa" w:w="1728"/>
          </w:tcPr>
          <w:p>
            <w:r>
              <w:rPr>
                <w:rFonts w:ascii="Calibri" w:hAnsi="Calibri"/>
                <w:sz w:val="22"/>
              </w:rPr>
              <w:t>↑ Raised at Q1 2026 earnings; driven by Q1 beat, pricing at high end, strong order books entering Q2</w:t>
            </w:r>
          </w:p>
        </w:tc>
      </w:tr>
      <w:tr>
        <w:tc>
          <w:tcPr>
            <w:tcW w:type="dxa" w:w="1728"/>
          </w:tcPr>
          <w:p>
            <w:r>
              <w:rPr>
                <w:rFonts w:ascii="Calibri" w:hAnsi="Calibri"/>
                <w:sz w:val="22"/>
              </w:rPr>
              <w:t>FY2026 Core Sales Growth</w:t>
            </w:r>
          </w:p>
        </w:tc>
        <w:tc>
          <w:tcPr>
            <w:tcW w:type="dxa" w:w="1728"/>
          </w:tcPr>
          <w:p>
            <w:r>
              <w:rPr>
                <w:rFonts w:ascii="Calibri" w:hAnsi="Calibri"/>
                <w:sz w:val="22"/>
              </w:rPr>
              <w:t>Low-to-mid single digit (YoY)</w:t>
            </w:r>
          </w:p>
        </w:tc>
        <w:tc>
          <w:tcPr>
            <w:tcW w:type="dxa" w:w="1728"/>
          </w:tcPr>
          <w:p>
            <w:r>
              <w:rPr>
                <w:rFonts w:ascii="Calibri" w:hAnsi="Calibri"/>
                <w:sz w:val="22"/>
              </w:rPr>
              <w:t>Acceleration expected as year progresses (no new range)</w:t>
            </w:r>
          </w:p>
        </w:tc>
        <w:tc>
          <w:tcPr>
            <w:tcW w:type="dxa" w:w="1728"/>
          </w:tcPr>
          <w:p>
            <w:r>
              <w:rPr>
                <w:rFonts w:ascii="Calibri" w:hAnsi="Calibri"/>
                <w:sz w:val="22"/>
              </w:rPr>
              <w:t>~3.9%</w:t>
            </w:r>
          </w:p>
        </w:tc>
        <w:tc>
          <w:tcPr>
            <w:tcW w:type="dxa" w:w="1728"/>
          </w:tcPr>
          <w:p>
            <w:r>
              <w:rPr>
                <w:rFonts w:ascii="Calibri" w:hAnsi="Calibri"/>
                <w:sz w:val="22"/>
              </w:rPr>
              <w:t>Tone more confident; sequential acceleration narrative intact</w:t>
            </w:r>
          </w:p>
        </w:tc>
      </w:tr>
      <w:tr>
        <w:tc>
          <w:tcPr>
            <w:tcW w:type="dxa" w:w="1728"/>
          </w:tcPr>
          <w:p>
            <w:r>
              <w:rPr>
                <w:rFonts w:ascii="Calibri" w:hAnsi="Calibri"/>
                <w:sz w:val="22"/>
              </w:rPr>
              <w:t>FY2026 FCF Conversion</w:t>
            </w:r>
          </w:p>
        </w:tc>
        <w:tc>
          <w:tcPr>
            <w:tcW w:type="dxa" w:w="1728"/>
          </w:tcPr>
          <w:p>
            <w:r>
              <w:rPr>
                <w:rFonts w:ascii="Calibri" w:hAnsi="Calibri"/>
                <w:sz w:val="22"/>
              </w:rPr>
              <w:t>&gt;100% net income conversion</w:t>
            </w:r>
          </w:p>
        </w:tc>
        <w:tc>
          <w:tcPr>
            <w:tcW w:type="dxa" w:w="1728"/>
          </w:tcPr>
          <w:p>
            <w:r>
              <w:rPr>
                <w:rFonts w:ascii="Calibri" w:hAnsi="Calibri"/>
                <w:sz w:val="22"/>
              </w:rPr>
              <w:t>Unchanged</w:t>
            </w:r>
          </w:p>
        </w:tc>
        <w:tc>
          <w:tcPr>
            <w:tcW w:type="dxa" w:w="1728"/>
          </w:tcPr>
          <w:p>
            <w:r>
              <w:rPr>
                <w:rFonts w:ascii="Calibri" w:hAnsi="Calibri"/>
                <w:sz w:val="22"/>
              </w:rPr>
              <w:t>$1.038B (FY cons.)</w:t>
            </w:r>
          </w:p>
        </w:tc>
        <w:tc>
          <w:tcPr>
            <w:tcW w:type="dxa" w:w="1728"/>
          </w:tcPr>
          <w:p>
            <w:r>
              <w:rPr>
                <w:rFonts w:ascii="Calibri" w:hAnsi="Calibri"/>
                <w:sz w:val="22"/>
              </w:rPr>
              <w:t>No change; strong conversion track record maintained</w:t>
            </w:r>
          </w:p>
        </w:tc>
      </w:tr>
      <w:tr>
        <w:tc>
          <w:tcPr>
            <w:tcW w:type="dxa" w:w="1728"/>
          </w:tcPr>
          <w:p>
            <w:r>
              <w:rPr>
                <w:rFonts w:ascii="Calibri" w:hAnsi="Calibri"/>
                <w:sz w:val="22"/>
              </w:rPr>
              <w:t>Tariff Headwinds</w:t>
            </w:r>
          </w:p>
        </w:tc>
        <w:tc>
          <w:tcPr>
            <w:tcW w:type="dxa" w:w="1728"/>
          </w:tcPr>
          <w:p>
            <w:r>
              <w:rPr>
                <w:rFonts w:ascii="Calibri" w:hAnsi="Calibri"/>
                <w:sz w:val="22"/>
              </w:rPr>
              <w:t>2025 tariff headwinds to roll off in H2 2026</w:t>
            </w:r>
          </w:p>
        </w:tc>
        <w:tc>
          <w:tcPr>
            <w:tcW w:type="dxa" w:w="1728"/>
          </w:tcPr>
          <w:p>
            <w:r>
              <w:rPr>
                <w:rFonts w:ascii="Calibri" w:hAnsi="Calibri"/>
                <w:sz w:val="22"/>
              </w:rPr>
              <w:t>Confirmed; new Section 232 impact baked into guidance; overall impact “much smaller”</w:t>
            </w:r>
          </w:p>
        </w:tc>
        <w:tc>
          <w:tcPr>
            <w:tcW w:type="dxa" w:w="1728"/>
          </w:tcPr>
          <w:p>
            <w:r>
              <w:rPr>
                <w:rFonts w:ascii="Calibri" w:hAnsi="Calibri"/>
                <w:sz w:val="22"/>
              </w:rPr>
              <w:t>N/A</w:t>
            </w:r>
          </w:p>
        </w:tc>
        <w:tc>
          <w:tcPr>
            <w:tcW w:type="dxa" w:w="1728"/>
          </w:tcPr>
          <w:p>
            <w:r>
              <w:rPr>
                <w:rFonts w:ascii="Calibri" w:hAnsi="Calibri"/>
                <w:sz w:val="22"/>
              </w:rPr>
              <w:t>Tailwind building into H2 2026 as prior-year pricing actions roll over</w:t>
            </w:r>
          </w:p>
        </w:tc>
      </w:tr>
      <w:tr>
        <w:tc>
          <w:tcPr>
            <w:tcW w:type="dxa" w:w="1728"/>
          </w:tcPr>
          <w:p>
            <w:r>
              <w:rPr>
                <w:rFonts w:ascii="Calibri" w:hAnsi="Calibri"/>
                <w:sz w:val="22"/>
              </w:rPr>
              <w:t>Cost Optimization Program</w:t>
            </w:r>
          </w:p>
        </w:tc>
        <w:tc>
          <w:tcPr>
            <w:tcW w:type="dxa" w:w="1728"/>
          </w:tcPr>
          <w:p>
            <w:r>
              <w:rPr>
                <w:rFonts w:ascii="Calibri" w:hAnsi="Calibri"/>
                <w:sz w:val="22"/>
              </w:rPr>
              <w:t>Not announced</w:t>
            </w:r>
          </w:p>
        </w:tc>
        <w:tc>
          <w:tcPr>
            <w:tcW w:type="dxa" w:w="1728"/>
          </w:tcPr>
          <w:p>
            <w:r>
              <w:rPr>
                <w:rFonts w:ascii="Calibri" w:hAnsi="Calibri"/>
                <w:sz w:val="22"/>
              </w:rPr>
              <w:t>New program initiated; ~50% of run-rate savings in 2027, full run-rate in 2028; no 2026 P&amp;L benefit</w:t>
            </w:r>
          </w:p>
        </w:tc>
        <w:tc>
          <w:tcPr>
            <w:tcW w:type="dxa" w:w="1728"/>
          </w:tcPr>
          <w:p>
            <w:r>
              <w:rPr>
                <w:rFonts w:ascii="Calibri" w:hAnsi="Calibri"/>
                <w:sz w:val="22"/>
              </w:rPr>
              <w:t>N/A (2027+ benefit)</w:t>
            </w:r>
          </w:p>
        </w:tc>
        <w:tc>
          <w:tcPr>
            <w:tcW w:type="dxa" w:w="1728"/>
          </w:tcPr>
          <w:p>
            <w:r>
              <w:rPr>
                <w:rFonts w:ascii="Calibri" w:hAnsi="Calibri"/>
                <w:sz w:val="22"/>
              </w:rPr>
              <w:t>↑ New EPS growth lever; actions concentrated in Q4 2026; slight PQI bias but broad-based</w:t>
            </w:r>
          </w:p>
        </w:tc>
      </w:tr>
      <w:tr>
        <w:tc>
          <w:tcPr>
            <w:tcW w:type="dxa" w:w="1728"/>
          </w:tcPr>
          <w:p>
            <w:r>
              <w:rPr>
                <w:rFonts w:ascii="Calibri" w:hAnsi="Calibri"/>
                <w:sz w:val="22"/>
              </w:rPr>
              <w:t>PQI Segment Margins (Q2)</w:t>
            </w:r>
          </w:p>
        </w:tc>
        <w:tc>
          <w:tcPr>
            <w:tcW w:type="dxa" w:w="1728"/>
          </w:tcPr>
          <w:p>
            <w:r>
              <w:rPr>
                <w:rFonts w:ascii="Calibri" w:hAnsi="Calibri"/>
                <w:sz w:val="22"/>
              </w:rPr>
              <w:t>Not specifically guided</w:t>
            </w:r>
          </w:p>
        </w:tc>
        <w:tc>
          <w:tcPr>
            <w:tcW w:type="dxa" w:w="1728"/>
          </w:tcPr>
          <w:p>
            <w:r>
              <w:rPr>
                <w:rFonts w:ascii="Calibri" w:hAnsi="Calibri"/>
                <w:sz w:val="22"/>
              </w:rPr>
              <w:t>Mix headwind flagged for Q2; recovery expected in H2 2026 and 2027</w:t>
            </w:r>
          </w:p>
        </w:tc>
        <w:tc>
          <w:tcPr>
            <w:tcW w:type="dxa" w:w="1728"/>
          </w:tcPr>
          <w:p>
            <w:r>
              <w:rPr>
                <w:rFonts w:ascii="Calibri" w:hAnsi="Calibri"/>
                <w:sz w:val="22"/>
              </w:rPr>
              <w:t>N/A</w:t>
            </w:r>
          </w:p>
        </w:tc>
        <w:tc>
          <w:tcPr>
            <w:tcW w:type="dxa" w:w="1728"/>
          </w:tcPr>
          <w:p>
            <w:r>
              <w:rPr>
                <w:rFonts w:ascii="Calibri" w:hAnsi="Calibri"/>
                <w:sz w:val="22"/>
              </w:rPr>
              <w:t>Watch: Q2 PQI margin is a known risk; tariff roll-off provides H2 tailwind</w:t>
            </w:r>
          </w:p>
        </w:tc>
      </w:tr>
    </w:tbl>
    <w:p>
      <w:r>
        <w:rPr>
          <w:rFonts w:ascii="Calibri" w:hAnsi="Calibri"/>
          <w:color w:val="525866"/>
          <w:sz w:val="22"/>
        </w:rPr>
        <w:t>Management tone has shifted decisively from the cautious, "judicious" posture at Q4 2025 to a confident, execution-focused stance at Q1 2026. The guidance raise was driven by three factors: (1) Q1 operational outperformance, (2) pricing at the high end of the range, and (3) strong order books entering Q2. The new cost optimization program — not in the Q4 2025 script — adds a credible 2027–2028 EPS growth lever that the Street is beginning to model. No post-Q1 guidance updates have been issued, meaning the Q1 call remains the baseline.</w:t>
      </w:r>
    </w:p>
    <w:p>
      <w:r>
        <w:rPr>
          <w:rFonts w:ascii="Calibri" w:hAnsi="Calibri"/>
          <w:i/>
          <w:color w:val="525866"/>
          <w:sz w:val="22"/>
        </w:rPr>
        <w:t>Sources: VLTO Q4 2025 Earnings Call Transcript (Feb 4, 2026); VLTO Q1 2026 Earnings Call Transcript (Apr 29,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tracking guidance rather than diverging from it. </w:t>
      </w:r>
      <w:r>
        <w:rPr>
          <w:rFonts w:ascii="Calibri" w:hAnsi="Calibri"/>
          <w:b/>
          <w:color w:val="525866"/>
          <w:sz w:val="22"/>
        </w:rPr>
        <w:t>The gap between consensus and guidance midpoint is narrow (~−0.5% for FY EPS), suggesting limited cushion but also limited risk of a guidance-driven cut.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$1.000</w:t>
            </w:r>
          </w:p>
        </w:tc>
        <w:tc>
          <w:tcPr>
            <w:tcW w:type="dxa" w:w="1080"/>
          </w:tcPr>
          <w:p>
            <w:r>
              <w:rPr>
                <w:rFonts w:ascii="Calibri" w:hAnsi="Calibri"/>
                <w:sz w:val="22"/>
              </w:rPr>
              <w:t>$1.008</w:t>
            </w:r>
          </w:p>
        </w:tc>
        <w:tc>
          <w:tcPr>
            <w:tcW w:type="dxa" w:w="1080"/>
          </w:tcPr>
          <w:p>
            <w:r>
              <w:rPr>
                <w:rFonts w:ascii="Calibri" w:hAnsi="Calibri"/>
                <w:b/>
                <w:color w:val="30A46C"/>
                <w:sz w:val="22"/>
              </w:rPr>
              <w:t>+0.8%</w:t>
            </w:r>
          </w:p>
        </w:tc>
        <w:tc>
          <w:tcPr>
            <w:tcW w:type="dxa" w:w="1080"/>
          </w:tcPr>
          <w:p>
            <w:r>
              <w:rPr>
                <w:rFonts w:ascii="Calibri" w:hAnsi="Calibri"/>
                <w:sz w:val="22"/>
              </w:rPr>
              <w:t>N/A (no Q2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$4.250</w:t>
            </w:r>
          </w:p>
        </w:tc>
        <w:tc>
          <w:tcPr>
            <w:tcW w:type="dxa" w:w="1080"/>
          </w:tcPr>
          <w:p>
            <w:r>
              <w:rPr>
                <w:rFonts w:ascii="Calibri" w:hAnsi="Calibri"/>
                <w:sz w:val="22"/>
              </w:rPr>
              <w:t>$4.255</w:t>
            </w:r>
          </w:p>
        </w:tc>
        <w:tc>
          <w:tcPr>
            <w:tcW w:type="dxa" w:w="1080"/>
          </w:tcPr>
          <w:p>
            <w:r>
              <w:rPr>
                <w:rFonts w:ascii="Calibri" w:hAnsi="Calibri"/>
                <w:sz w:val="22"/>
              </w:rPr>
              <w:t>+0.1%</w:t>
            </w:r>
          </w:p>
        </w:tc>
        <w:tc>
          <w:tcPr>
            <w:tcW w:type="dxa" w:w="1080"/>
          </w:tcPr>
          <w:p>
            <w:r>
              <w:rPr>
                <w:rFonts w:ascii="Calibri" w:hAnsi="Calibri"/>
                <w:sz w:val="22"/>
              </w:rPr>
              <w:t>$4.10–$4.20 (mid. $4.15)</w:t>
            </w:r>
          </w:p>
        </w:tc>
        <w:tc>
          <w:tcPr>
            <w:tcW w:type="dxa" w:w="1080"/>
          </w:tcPr>
          <w:p>
            <w:r>
              <w:rPr>
                <w:rFonts w:ascii="Calibri" w:hAnsi="Calibri"/>
                <w:sz w:val="22"/>
              </w:rPr>
              <w:t>$4.20–$4.28 (mid. $4.24)</w:t>
            </w:r>
          </w:p>
        </w:tc>
        <w:tc>
          <w:tcPr>
            <w:tcW w:type="dxa" w:w="1080"/>
          </w:tcPr>
          <w:p>
            <w:r>
              <w:rPr>
                <w:rFonts w:ascii="Calibri" w:hAnsi="Calibri"/>
                <w:sz w:val="22"/>
              </w:rPr>
              <w:t>+$0.09 at midpoint</w:t>
            </w:r>
          </w:p>
        </w:tc>
        <w:tc>
          <w:tcPr>
            <w:tcW w:type="dxa" w:w="1080"/>
          </w:tcPr>
          <w:p>
            <w:r>
              <w:rPr>
                <w:rFonts w:ascii="Calibri" w:hAnsi="Calibri"/>
                <w:sz w:val="22"/>
              </w:rPr>
              <w:t>+0.4% above midpoint</w:t>
            </w:r>
          </w:p>
        </w:tc>
      </w:tr>
      <w:tr>
        <w:tc>
          <w:tcPr>
            <w:tcW w:type="dxa" w:w="1080"/>
          </w:tcPr>
          <w:p>
            <w:r>
              <w:rPr>
                <w:rFonts w:ascii="Calibri" w:hAnsi="Calibri"/>
                <w:sz w:val="22"/>
              </w:rPr>
              <w:t>Adj. EPS — FY2027</w:t>
            </w:r>
          </w:p>
        </w:tc>
        <w:tc>
          <w:tcPr>
            <w:tcW w:type="dxa" w:w="1080"/>
          </w:tcPr>
          <w:p>
            <w:r>
              <w:rPr>
                <w:rFonts w:ascii="Calibri" w:hAnsi="Calibri"/>
                <w:sz w:val="22"/>
              </w:rPr>
              <w:t>$4.655</w:t>
            </w:r>
          </w:p>
        </w:tc>
        <w:tc>
          <w:tcPr>
            <w:tcW w:type="dxa" w:w="1080"/>
          </w:tcPr>
          <w:p>
            <w:r>
              <w:rPr>
                <w:rFonts w:ascii="Calibri" w:hAnsi="Calibri"/>
                <w:sz w:val="22"/>
              </w:rPr>
              <w:t>$4.675</w:t>
            </w:r>
          </w:p>
        </w:tc>
        <w:tc>
          <w:tcPr>
            <w:tcW w:type="dxa" w:w="1080"/>
          </w:tcPr>
          <w:p>
            <w:r>
              <w:rPr>
                <w:rFonts w:ascii="Calibri" w:hAnsi="Calibri"/>
                <w:b/>
                <w:color w:val="30A46C"/>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 ($B)</w:t>
            </w:r>
          </w:p>
        </w:tc>
        <w:tc>
          <w:tcPr>
            <w:tcW w:type="dxa" w:w="1080"/>
          </w:tcPr>
          <w:p>
            <w:r>
              <w:rPr>
                <w:rFonts w:ascii="Calibri" w:hAnsi="Calibri"/>
                <w:sz w:val="22"/>
              </w:rPr>
              <w:t>$1.451B</w:t>
            </w:r>
          </w:p>
        </w:tc>
        <w:tc>
          <w:tcPr>
            <w:tcW w:type="dxa" w:w="1080"/>
          </w:tcPr>
          <w:p>
            <w:r>
              <w:rPr>
                <w:rFonts w:ascii="Calibri" w:hAnsi="Calibri"/>
                <w:sz w:val="22"/>
              </w:rPr>
              <w:t>$1.455B</w:t>
            </w:r>
          </w:p>
        </w:tc>
        <w:tc>
          <w:tcPr>
            <w:tcW w:type="dxa" w:w="1080"/>
          </w:tcPr>
          <w:p>
            <w:r>
              <w:rPr>
                <w:rFonts w:ascii="Calibri" w:hAnsi="Calibri"/>
                <w:sz w:val="22"/>
              </w:rPr>
              <w:t>+0.3%</w:t>
            </w:r>
          </w:p>
        </w:tc>
        <w:tc>
          <w:tcPr>
            <w:tcW w:type="dxa" w:w="1080"/>
          </w:tcPr>
          <w:p>
            <w:r>
              <w:rPr>
                <w:rFonts w:ascii="Calibri" w:hAnsi="Calibri"/>
                <w:sz w:val="22"/>
              </w:rPr>
              <w:t>N/A (no Q2 rev.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 ($B)</w:t>
            </w:r>
          </w:p>
        </w:tc>
        <w:tc>
          <w:tcPr>
            <w:tcW w:type="dxa" w:w="1080"/>
          </w:tcPr>
          <w:p>
            <w:r>
              <w:rPr>
                <w:rFonts w:ascii="Calibri" w:hAnsi="Calibri"/>
                <w:sz w:val="22"/>
              </w:rPr>
              <w:t>$5.874B</w:t>
            </w:r>
          </w:p>
        </w:tc>
        <w:tc>
          <w:tcPr>
            <w:tcW w:type="dxa" w:w="1080"/>
          </w:tcPr>
          <w:p>
            <w:r>
              <w:rPr>
                <w:rFonts w:ascii="Calibri" w:hAnsi="Calibri"/>
                <w:sz w:val="22"/>
              </w:rPr>
              <w:t>$5.875B</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Sales Growth — Q2 2026 (%)</w:t>
            </w:r>
          </w:p>
        </w:tc>
        <w:tc>
          <w:tcPr>
            <w:tcW w:type="dxa" w:w="1080"/>
          </w:tcPr>
          <w:p>
            <w:r>
              <w:rPr>
                <w:rFonts w:ascii="Calibri" w:hAnsi="Calibri"/>
                <w:sz w:val="22"/>
              </w:rPr>
              <w:t>~3.4%</w:t>
            </w:r>
          </w:p>
        </w:tc>
        <w:tc>
          <w:tcPr>
            <w:tcW w:type="dxa" w:w="1080"/>
          </w:tcPr>
          <w:p>
            <w:r>
              <w:rPr>
                <w:rFonts w:ascii="Calibri" w:hAnsi="Calibri"/>
                <w:sz w:val="22"/>
              </w:rPr>
              <w:t>~3.5%</w:t>
            </w:r>
          </w:p>
        </w:tc>
        <w:tc>
          <w:tcPr>
            <w:tcW w:type="dxa" w:w="1080"/>
          </w:tcPr>
          <w:p>
            <w:r>
              <w:rPr>
                <w:rFonts w:ascii="Calibri" w:hAnsi="Calibri"/>
                <w:sz w:val="22"/>
              </w:rPr>
              <w:t>+0.1 pp</w:t>
            </w:r>
          </w:p>
        </w:tc>
        <w:tc>
          <w:tcPr>
            <w:tcW w:type="dxa" w:w="1080"/>
          </w:tcPr>
          <w:p>
            <w:r>
              <w:rPr>
                <w:rFonts w:ascii="Calibri" w:hAnsi="Calibri"/>
                <w:sz w:val="22"/>
              </w:rPr>
              <w:t>Low-to-mid single digit (FY)</w:t>
            </w:r>
          </w:p>
        </w:tc>
        <w:tc>
          <w:tcPr>
            <w:tcW w:type="dxa" w:w="1080"/>
          </w:tcPr>
          <w:p>
            <w:r>
              <w:rPr>
                <w:rFonts w:ascii="Calibri" w:hAnsi="Calibri"/>
                <w:sz w:val="22"/>
              </w:rPr>
              <w:t>Acceleration expected (no Q2 range)</w:t>
            </w:r>
          </w:p>
        </w:tc>
        <w:tc>
          <w:tcPr>
            <w:tcW w:type="dxa" w:w="1080"/>
          </w:tcPr>
          <w:p>
            <w:r>
              <w:rPr>
                <w:rFonts w:ascii="Calibri" w:hAnsi="Calibri"/>
                <w:sz w:val="22"/>
              </w:rPr>
              <w:t>N/A</w:t>
            </w:r>
          </w:p>
        </w:tc>
        <w:tc>
          <w:tcPr>
            <w:tcW w:type="dxa" w:w="1080"/>
          </w:tcPr>
          <w:p>
            <w:r>
              <w:rPr>
                <w:rFonts w:ascii="Calibri" w:hAnsi="Calibri"/>
                <w:sz w:val="22"/>
              </w:rPr>
              <w:t>Within guidance range</w:t>
            </w:r>
          </w:p>
        </w:tc>
      </w:tr>
      <w:tr>
        <w:tc>
          <w:tcPr>
            <w:tcW w:type="dxa" w:w="1080"/>
          </w:tcPr>
          <w:p>
            <w:r>
              <w:rPr>
                <w:rFonts w:ascii="Calibri" w:hAnsi="Calibri"/>
                <w:sz w:val="22"/>
              </w:rPr>
              <w:t>Free Cash Flow — FY2026 ($B)</w:t>
            </w:r>
          </w:p>
        </w:tc>
        <w:tc>
          <w:tcPr>
            <w:tcW w:type="dxa" w:w="1080"/>
          </w:tcPr>
          <w:p>
            <w:r>
              <w:rPr>
                <w:rFonts w:ascii="Calibri" w:hAnsi="Calibri"/>
                <w:sz w:val="22"/>
              </w:rPr>
              <w:t>$1.039B</w:t>
            </w:r>
          </w:p>
        </w:tc>
        <w:tc>
          <w:tcPr>
            <w:tcW w:type="dxa" w:w="1080"/>
          </w:tcPr>
          <w:p>
            <w:r>
              <w:rPr>
                <w:rFonts w:ascii="Calibri" w:hAnsi="Calibri"/>
                <w:sz w:val="22"/>
              </w:rPr>
              <w:t>$1.038B</w:t>
            </w:r>
          </w:p>
        </w:tc>
        <w:tc>
          <w:tcPr>
            <w:tcW w:type="dxa" w:w="1080"/>
          </w:tcPr>
          <w:p>
            <w:r>
              <w:rPr>
                <w:rFonts w:ascii="Calibri" w:hAnsi="Calibri"/>
                <w:sz w:val="22"/>
              </w:rPr>
              <w:t>-0.1%</w:t>
            </w:r>
          </w:p>
        </w:tc>
        <w:tc>
          <w:tcPr>
            <w:tcW w:type="dxa" w:w="1080"/>
          </w:tcPr>
          <w:p>
            <w:r>
              <w:rPr>
                <w:rFonts w:ascii="Calibri" w:hAnsi="Calibri"/>
                <w:sz w:val="22"/>
              </w:rPr>
              <w:t>&gt;100% conversion</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Consistent with guidance</w:t>
            </w:r>
          </w:p>
        </w:tc>
      </w:tr>
    </w:tbl>
    <w:p>
      <w:r>
        <w:rPr>
          <w:rFonts w:ascii="Calibri" w:hAnsi="Calibri"/>
          <w:color w:val="525866"/>
          <w:sz w:val="22"/>
        </w:rPr>
        <w:t>Estimates have been remarkably stable since the Q1 print, with FY2026 EPS moving only +$0.005 and Q2 EPS moving +$0.008. This stability reflects a Street that is broadly aligned with management's raised guidance rather than running ahead of it. The FY2027 EPS drift higher (+$0.020) is more notable and likely reflects early modeling of the cost optimization program savings. The narrow consensus-vs.-guidance gap on FY EPS (~+0.4% above midpoint) means there is limited cushion if Q2 disappoints, but also limited risk of a guidance-driven cut if results are in-line.</w:t>
      </w:r>
    </w:p>
    <w:p>
      <w:r>
        <w:rPr>
          <w:rFonts w:ascii="Calibri" w:hAnsi="Calibri"/>
          <w:i/>
          <w:color w:val="525866"/>
          <w:sz w:val="22"/>
        </w:rPr>
        <w:t>Source: Visible Alpha Consensus and Actuals Data. Baseline as of May 5,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VLTO has rallied ~10.1% since the Q1 2026 earnings date (Apr 28 close: $85.60 → Jul 28: $94.28), </w:t>
      </w:r>
      <w:r>
        <w:rPr>
          <w:rFonts w:ascii="Calibri" w:hAnsi="Calibri"/>
          <w:b/>
          <w:color w:val="525866"/>
          <w:sz w:val="22"/>
        </w:rPr>
        <w:t>outperforming XLI (+7.2%) but lagging SPY (+3.9%)</w:t>
      </w:r>
      <w:r>
        <w:rPr>
          <w:rFonts w:ascii="Calibri" w:hAnsi="Calibri"/>
          <w:color w:val="525866"/>
          <w:sz w:val="22"/>
        </w:rPr>
        <w:t xml:space="preserve"> — the outperformance vs. industrials reflects the guidance raise and cost optimization program announcement, while the underperformance vs. SPY reflects the market's continued skepticism about VLTO's single-digit growth profile relative to higher-growth tech-driven names.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VLTO vs. XLI vs. S&amp;P 500 (SPY) — Indexed to 100 at April 28, 2026 (Q1 2026 Earnings Date). Source: Stock Price Data.</w:t>
      </w:r>
    </w:p>
    <w:p>
      <w:r>
        <w:rPr>
          <w:rFonts w:ascii="Calibri" w:hAnsi="Calibri"/>
          <w:b/>
          <w:color w:val="525866"/>
          <w:sz w:val="22"/>
        </w:rPr>
        <w:t>Stock Performance Detail (Apr 28 – Jul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Apr 28 Close</w:t>
            </w:r>
          </w:p>
        </w:tc>
        <w:tc>
          <w:tcPr>
            <w:tcW w:type="dxa" w:w="2160"/>
            <w:shd w:val="clear" w:color="auto" w:fill="3B4259"/>
          </w:tcPr>
          <w:p>
            <w:r>
              <w:rPr>
                <w:rFonts w:ascii="Calibri" w:hAnsi="Calibri"/>
                <w:b/>
                <w:color w:val="FFFFFF"/>
                <w:sz w:val="22"/>
              </w:rPr>
              <w:t>Jul 28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VLTO</w:t>
            </w:r>
          </w:p>
        </w:tc>
        <w:tc>
          <w:tcPr>
            <w:tcW w:type="dxa" w:w="2160"/>
          </w:tcPr>
          <w:p>
            <w:r>
              <w:rPr>
                <w:rFonts w:ascii="Calibri" w:hAnsi="Calibri"/>
                <w:sz w:val="22"/>
              </w:rPr>
              <w:t>$85.60</w:t>
            </w:r>
          </w:p>
        </w:tc>
        <w:tc>
          <w:tcPr>
            <w:tcW w:type="dxa" w:w="2160"/>
          </w:tcPr>
          <w:p>
            <w:r>
              <w:rPr>
                <w:rFonts w:ascii="Calibri" w:hAnsi="Calibri"/>
                <w:sz w:val="22"/>
              </w:rPr>
              <w:t>$94.28</w:t>
            </w:r>
          </w:p>
        </w:tc>
        <w:tc>
          <w:tcPr>
            <w:tcW w:type="dxa" w:w="2160"/>
          </w:tcPr>
          <w:p>
            <w:r>
              <w:rPr>
                <w:rFonts w:ascii="Calibri" w:hAnsi="Calibri"/>
                <w:b/>
                <w:color w:val="30A46C"/>
                <w:sz w:val="22"/>
              </w:rPr>
              <w:t>+10.1%</w:t>
            </w:r>
          </w:p>
        </w:tc>
      </w:tr>
      <w:tr>
        <w:tc>
          <w:tcPr>
            <w:tcW w:type="dxa" w:w="2160"/>
          </w:tcPr>
          <w:p>
            <w:r>
              <w:rPr>
                <w:rFonts w:ascii="Calibri" w:hAnsi="Calibri"/>
                <w:sz w:val="22"/>
              </w:rPr>
              <w:t>XLI (Industrials ETF)</w:t>
            </w:r>
          </w:p>
        </w:tc>
        <w:tc>
          <w:tcPr>
            <w:tcW w:type="dxa" w:w="2160"/>
          </w:tcPr>
          <w:p>
            <w:r>
              <w:rPr>
                <w:rFonts w:ascii="Calibri" w:hAnsi="Calibri"/>
                <w:sz w:val="22"/>
              </w:rPr>
              <w:t>$170.98</w:t>
            </w:r>
          </w:p>
        </w:tc>
        <w:tc>
          <w:tcPr>
            <w:tcW w:type="dxa" w:w="2160"/>
          </w:tcPr>
          <w:p>
            <w:r>
              <w:rPr>
                <w:rFonts w:ascii="Calibri" w:hAnsi="Calibri"/>
                <w:sz w:val="22"/>
              </w:rPr>
              <w:t>$183.20</w:t>
            </w:r>
          </w:p>
        </w:tc>
        <w:tc>
          <w:tcPr>
            <w:tcW w:type="dxa" w:w="2160"/>
          </w:tcPr>
          <w:p>
            <w:r>
              <w:rPr>
                <w:rFonts w:ascii="Calibri" w:hAnsi="Calibri"/>
                <w:b/>
                <w:color w:val="30A46C"/>
                <w:sz w:val="22"/>
              </w:rPr>
              <w:t>+7.1%</w:t>
            </w:r>
          </w:p>
        </w:tc>
      </w:tr>
      <w:tr>
        <w:tc>
          <w:tcPr>
            <w:tcW w:type="dxa" w:w="2160"/>
          </w:tcPr>
          <w:p>
            <w:r>
              <w:rPr>
                <w:rFonts w:ascii="Calibri" w:hAnsi="Calibri"/>
                <w:sz w:val="22"/>
              </w:rPr>
              <w:t>SPY (S&amp;P 500)</w:t>
            </w:r>
          </w:p>
        </w:tc>
        <w:tc>
          <w:tcPr>
            <w:tcW w:type="dxa" w:w="2160"/>
          </w:tcPr>
          <w:p>
            <w:r>
              <w:rPr>
                <w:rFonts w:ascii="Calibri" w:hAnsi="Calibri"/>
                <w:sz w:val="22"/>
              </w:rPr>
              <w:t>$711.69</w:t>
            </w:r>
          </w:p>
        </w:tc>
        <w:tc>
          <w:tcPr>
            <w:tcW w:type="dxa" w:w="2160"/>
          </w:tcPr>
          <w:p>
            <w:r>
              <w:rPr>
                <w:rFonts w:ascii="Calibri" w:hAnsi="Calibri"/>
                <w:sz w:val="22"/>
              </w:rPr>
              <w:t>$739.09</w:t>
            </w:r>
          </w:p>
        </w:tc>
        <w:tc>
          <w:tcPr>
            <w:tcW w:type="dxa" w:w="2160"/>
          </w:tcPr>
          <w:p>
            <w:r>
              <w:rPr>
                <w:rFonts w:ascii="Calibri" w:hAnsi="Calibri"/>
                <w:sz w:val="22"/>
              </w:rPr>
              <w:t>+3.9%</w:t>
            </w:r>
          </w:p>
        </w:tc>
      </w:tr>
    </w:tbl>
    <w:p>
      <w:r>
        <w:rPr>
          <w:rFonts w:ascii="Calibri" w:hAnsi="Calibri"/>
          <w:color w:val="525866"/>
          <w:sz w:val="22"/>
        </w:rPr>
        <w:t>The stock's post-Q1 rally was driven primarily by the guidance raise and the new cost optimization program announcement, which directly addressed the market's Q4 2025 concern about growth deceleration. The stock peaked near $94–$95 in early July before pulling back modestly, suggesting the market is now in a "wait and see" mode ahead of Q2 results. With the stock up ~10% since earnings and trading near recent highs, the reaction function into Q2 is asymmetric: a beat with guidance raise would likely produce a modest positive reaction, while a miss or guidance hold could see a sharper pullback given the elevated starting point. The XLI outperformance is durable if the cost optimization program delivers as promised in 2027–2028.</w:t>
      </w:r>
    </w:p>
    <w:p>
      <w:r>
        <w:rPr>
          <w:rFonts w:ascii="Calibri" w:hAnsi="Calibri"/>
          <w:i/>
          <w:color w:val="525866"/>
          <w:sz w:val="22"/>
        </w:rPr>
        <w:t>Source: Stock Price Data (Yahoo Finance). XLI used as the industrials sector ETF, appropriate for VLTO's water quality and product quality industrial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new cost optimization program</w:t>
      </w:r>
      <w:r>
        <w:rPr>
          <w:rFonts w:ascii="Calibri" w:hAnsi="Calibri"/>
          <w:color w:val="525866"/>
          <w:sz w:val="22"/>
        </w:rPr>
        <w:t xml:space="preserve"> announced April 29, which adds a credible 2027–2028 EPS growth lever and has been the primary driver of positive sentiment; the secondary watch item is whether the GlobalVision integration is tracking to plan and whether M&amp;A pipeline activity signals another deal before year-end.</w:t>
      </w:r>
    </w:p>
    <w:p>
      <w:pPr>
        <w:pStyle w:val="ListBullet"/>
        <w:ind w:left="360" w:hanging="360"/>
      </w:pPr>
      <w:r>
        <w:rPr>
          <w:rFonts w:ascii="Calibri" w:hAnsi="Calibri"/>
          <w:b/>
          <w:color w:val="525866"/>
          <w:sz w:val="22"/>
        </w:rPr>
        <w:t>Apr 29, 2026 — Q1 2026 Earnings Beat + FY Guidance Raise:</w:t>
      </w:r>
      <w:r>
        <w:rPr>
          <w:rFonts w:ascii="Calibri" w:hAnsi="Calibri"/>
          <w:color w:val="525866"/>
          <w:sz w:val="22"/>
        </w:rPr>
        <w:t xml:space="preserve"> VLTO reported Q1 adj. EPS of $1.07 (vs. $1.006 consensus) and revenue of $1.422B (vs. $1.400B consensus). Full-year adj. EPS guidance raised to $4.20–$4.28 from $4.10–$4.20. </w:t>
      </w:r>
      <w:r>
        <w:rPr>
          <w:rFonts w:ascii="Calibri" w:hAnsi="Calibri"/>
          <w:i/>
          <w:color w:val="525866"/>
          <w:sz w:val="22"/>
        </w:rPr>
        <w:t>Implication:</w:t>
      </w:r>
      <w:r>
        <w:rPr>
          <w:rFonts w:ascii="Calibri" w:hAnsi="Calibri"/>
          <w:color w:val="525866"/>
          <w:sz w:val="22"/>
        </w:rPr>
        <w:t xml:space="preserve"> Directly addressed the market's Q4 2025 concern about growth deceleration; stock rose sharply on the day.</w:t>
      </w:r>
    </w:p>
    <w:p>
      <w:pPr>
        <w:pStyle w:val="ListBullet"/>
        <w:ind w:left="360" w:hanging="360"/>
      </w:pPr>
      <w:r>
        <w:rPr>
          <w:rFonts w:ascii="Calibri" w:hAnsi="Calibri"/>
          <w:b/>
          <w:color w:val="525866"/>
          <w:sz w:val="22"/>
        </w:rPr>
        <w:t>Apr 29, 2026 — New Cost Optimization Program Initiated:</w:t>
      </w:r>
      <w:r>
        <w:rPr>
          <w:rFonts w:ascii="Calibri" w:hAnsi="Calibri"/>
          <w:color w:val="525866"/>
          <w:sz w:val="22"/>
        </w:rPr>
        <w:t xml:space="preserve"> Management announced a new program to streamline operations and enhance efficiency. No 2026 P&amp;L benefit; ~50% of run-rate savings expected in 2027, full run-rate in 2028. Slight PQI bias but broad-based across both segments and corporate functions. </w:t>
      </w:r>
      <w:r>
        <w:rPr>
          <w:rFonts w:ascii="Calibri" w:hAnsi="Calibri"/>
          <w:i/>
          <w:color w:val="525866"/>
          <w:sz w:val="22"/>
        </w:rPr>
        <w:t>Implication:</w:t>
      </w:r>
      <w:r>
        <w:rPr>
          <w:rFonts w:ascii="Calibri" w:hAnsi="Calibri"/>
          <w:color w:val="525866"/>
          <w:sz w:val="22"/>
        </w:rPr>
        <w:t xml:space="preserve"> Adds a new EPS growth lever beyond the existing VES margin algorithm; a step-change for 2027–2028 that the Street is beginning to model into FY2027 estimates.</w:t>
      </w:r>
    </w:p>
    <w:p>
      <w:pPr>
        <w:pStyle w:val="ListBullet"/>
        <w:ind w:left="360" w:hanging="360"/>
      </w:pPr>
      <w:r>
        <w:rPr>
          <w:rFonts w:ascii="Calibri" w:hAnsi="Calibri"/>
          <w:b/>
          <w:color w:val="525866"/>
          <w:sz w:val="22"/>
        </w:rPr>
        <w:t>Q1 2026 (Completed) — GlobalVision Acquisition Closed:</w:t>
      </w:r>
      <w:r>
        <w:rPr>
          <w:rFonts w:ascii="Calibri" w:hAnsi="Calibri"/>
          <w:color w:val="525866"/>
          <w:sz w:val="22"/>
        </w:rPr>
        <w:t xml:space="preserve"> VLTO completed the acquisition of GlobalVision (PQI segment, digital quality assurance for packaging and labeling) as part of ~$1B deployed across two acquisitions (In-Situ in Water Quality, GlobalVision in PQI) year-to-date. </w:t>
      </w:r>
      <w:r>
        <w:rPr>
          <w:rFonts w:ascii="Calibri" w:hAnsi="Calibri"/>
          <w:i/>
          <w:color w:val="525866"/>
          <w:sz w:val="22"/>
        </w:rPr>
        <w:t>Implication:</w:t>
      </w:r>
      <w:r>
        <w:rPr>
          <w:rFonts w:ascii="Calibri" w:hAnsi="Calibri"/>
          <w:color w:val="525866"/>
          <w:sz w:val="22"/>
        </w:rPr>
        <w:t xml:space="preserve"> M&amp;A flywheel active; integration progress and revenue contribution will be a Q2 focus for analysts.</w:t>
      </w:r>
    </w:p>
    <w:p>
      <w:pPr>
        <w:pStyle w:val="ListBullet"/>
        <w:ind w:left="360" w:hanging="360"/>
      </w:pPr>
      <w:r>
        <w:rPr>
          <w:rFonts w:ascii="Calibri" w:hAnsi="Calibri"/>
          <w:b/>
          <w:color w:val="525866"/>
          <w:sz w:val="22"/>
        </w:rPr>
        <w:t>Q1 2026 (Completed) — In-Situ Acquisition Integration Underway:</w:t>
      </w:r>
      <w:r>
        <w:rPr>
          <w:rFonts w:ascii="Calibri" w:hAnsi="Calibri"/>
          <w:color w:val="525866"/>
          <w:sz w:val="22"/>
        </w:rPr>
        <w:t xml:space="preserve"> In-Situ (water quality monitoring instruments) closed at the outset of Q1 2026. Management described the M&amp;A pipeline as active in both segments. </w:t>
      </w:r>
      <w:r>
        <w:rPr>
          <w:rFonts w:ascii="Calibri" w:hAnsi="Calibri"/>
          <w:i/>
          <w:color w:val="525866"/>
          <w:sz w:val="22"/>
        </w:rPr>
        <w:t>Implication:</w:t>
      </w:r>
      <w:r>
        <w:rPr>
          <w:rFonts w:ascii="Calibri" w:hAnsi="Calibri"/>
          <w:color w:val="525866"/>
          <w:sz w:val="22"/>
        </w:rPr>
        <w:t xml:space="preserve"> Acquisition contribution to Water Quality revenue will be a key reconciliation item in Q2; watch for any integration commentary.</w:t>
      </w:r>
    </w:p>
    <w:p>
      <w:pPr>
        <w:pStyle w:val="ListBullet"/>
        <w:ind w:left="360" w:hanging="360"/>
      </w:pPr>
      <w:r>
        <w:rPr>
          <w:rFonts w:ascii="Calibri" w:hAnsi="Calibri"/>
          <w:b/>
          <w:color w:val="525866"/>
          <w:sz w:val="22"/>
        </w:rPr>
        <w:t>Apr 29, 2026 — Tariff Update (Section 232):</w:t>
      </w:r>
      <w:r>
        <w:rPr>
          <w:rFonts w:ascii="Calibri" w:hAnsi="Calibri"/>
          <w:color w:val="525866"/>
          <w:sz w:val="22"/>
        </w:rPr>
        <w:t xml:space="preserve"> Management confirmed new Section 232 tariff impact is baked into FY2026 guidance and described the overall impact as "much smaller" than feared. 2025 tariff headwinds remain on track to roll off in H2 2026. </w:t>
      </w:r>
      <w:r>
        <w:rPr>
          <w:rFonts w:ascii="Calibri" w:hAnsi="Calibri"/>
          <w:i/>
          <w:color w:val="525866"/>
          <w:sz w:val="22"/>
        </w:rPr>
        <w:t>Implication:</w:t>
      </w:r>
      <w:r>
        <w:rPr>
          <w:rFonts w:ascii="Calibri" w:hAnsi="Calibri"/>
          <w:color w:val="525866"/>
          <w:sz w:val="22"/>
        </w:rPr>
        <w:t xml:space="preserve"> H2 2026 margin tailwind is building; Q2 is still a headwind quarter, so watch for any commentary on tariff mitigation progress.</w:t>
      </w:r>
    </w:p>
    <w:p>
      <w:pPr>
        <w:pStyle w:val="ListBullet"/>
        <w:ind w:left="360" w:hanging="360"/>
      </w:pPr>
      <w:r>
        <w:rPr>
          <w:rFonts w:ascii="Calibri" w:hAnsi="Calibri"/>
          <w:b/>
          <w:color w:val="525866"/>
          <w:sz w:val="22"/>
        </w:rPr>
        <w:t>Ongoing — Data Center Water Demand Emerging:</w:t>
      </w:r>
      <w:r>
        <w:rPr>
          <w:rFonts w:ascii="Calibri" w:hAnsi="Calibri"/>
          <w:color w:val="525866"/>
          <w:sz w:val="22"/>
        </w:rPr>
        <w:t xml:space="preserve"> Management described data center revenue as "still a very small portion" of Water Quality sales but growing double-digits with "great traction." Industrial water markets (semiconductor, power, mining) expected to grow mid-to-high single digits. </w:t>
      </w:r>
      <w:r>
        <w:rPr>
          <w:rFonts w:ascii="Calibri" w:hAnsi="Calibri"/>
          <w:i/>
          <w:color w:val="525866"/>
          <w:sz w:val="22"/>
        </w:rPr>
        <w:t>Implication:</w:t>
      </w:r>
      <w:r>
        <w:rPr>
          <w:rFonts w:ascii="Calibri" w:hAnsi="Calibri"/>
          <w:color w:val="525866"/>
          <w:sz w:val="22"/>
        </w:rPr>
        <w:t xml:space="preserve"> Not a near-term needle-mover but a secular growth driver that could become more material in 2027–2028 as data center build-out accelerates.</w:t>
      </w:r>
    </w:p>
    <w:p>
      <w:pPr>
        <w:pStyle w:val="ListBullet"/>
        <w:ind w:left="360" w:hanging="360"/>
      </w:pPr>
      <w:r>
        <w:rPr>
          <w:rFonts w:ascii="Calibri" w:hAnsi="Calibri"/>
          <w:b/>
          <w:color w:val="525866"/>
          <w:sz w:val="22"/>
        </w:rPr>
        <w:t>Ongoing — PQI Discrete Industrial Weakness (Automotive, Textiles, Building Materials):</w:t>
      </w:r>
      <w:r>
        <w:rPr>
          <w:rFonts w:ascii="Calibri" w:hAnsi="Calibri"/>
          <w:color w:val="525866"/>
          <w:sz w:val="22"/>
        </w:rPr>
        <w:t xml:space="preserve"> Q1 PQI core growth was -1.0% due to non-recurring packaging and color equipment sales in discrete industrial end markets. Management guided for "incremental recovery" in Q2 but flagged mix headwinds on PQI margins. </w:t>
      </w:r>
      <w:r>
        <w:rPr>
          <w:rFonts w:ascii="Calibri" w:hAnsi="Calibri"/>
          <w:i/>
          <w:color w:val="525866"/>
          <w:sz w:val="22"/>
        </w:rPr>
        <w:t>Implication:</w:t>
      </w:r>
      <w:r>
        <w:rPr>
          <w:rFonts w:ascii="Calibri" w:hAnsi="Calibri"/>
          <w:color w:val="525866"/>
          <w:sz w:val="22"/>
        </w:rPr>
        <w:t xml:space="preserve"> The pace of PQI recovery is the single biggest swing factor for Q2 core growth vs. consensus.</w:t>
      </w:r>
    </w:p>
    <w:p>
      <w:pPr>
        <w:pStyle w:val="ListBullet"/>
        <w:ind w:left="360" w:hanging="360"/>
      </w:pPr>
      <w:r>
        <w:rPr>
          <w:rFonts w:ascii="Calibri" w:hAnsi="Calibri"/>
          <w:b/>
          <w:color w:val="525866"/>
          <w:sz w:val="22"/>
        </w:rPr>
        <w:t>Ongoing — China Dynamics:</w:t>
      </w:r>
      <w:r>
        <w:rPr>
          <w:rFonts w:ascii="Calibri" w:hAnsi="Calibri"/>
          <w:color w:val="525866"/>
          <w:sz w:val="22"/>
        </w:rPr>
        <w:t xml:space="preserve"> China PQI grew double-digits in Q1 (a positive), but Water Quality China was down low single digits due to municipal funding constraints. Middle East sales were down ~10% in Q1. </w:t>
      </w:r>
      <w:r>
        <w:rPr>
          <w:rFonts w:ascii="Calibri" w:hAnsi="Calibri"/>
          <w:i/>
          <w:color w:val="525866"/>
          <w:sz w:val="22"/>
        </w:rPr>
        <w:t>Implication:</w:t>
      </w:r>
      <w:r>
        <w:rPr>
          <w:rFonts w:ascii="Calibri" w:hAnsi="Calibri"/>
          <w:color w:val="525866"/>
          <w:sz w:val="22"/>
        </w:rPr>
        <w:t xml:space="preserve"> Geographic mix will be a watch item; any improvement in China municipal funding or Middle East stabilization would be a positive surprise.</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from Q2 2026 earnings calls (reported in July 2026) is broadly constructive for VLTO — </w:t>
      </w:r>
      <w:r>
        <w:rPr>
          <w:rFonts w:ascii="Calibri" w:hAnsi="Calibri"/>
          <w:b/>
          <w:color w:val="525866"/>
          <w:sz w:val="22"/>
        </w:rPr>
        <w:t>Danaher's acceleration in core growth, Honeywell's industrial automation beat, Badger Meter's sequential water demand recovery, and SGS's high-single-digit food/CPG testing growth all point to improving end-market conditions</w:t>
      </w:r>
      <w:r>
        <w:rPr>
          <w:rFonts w:ascii="Calibri" w:hAnsi="Calibri"/>
          <w:color w:val="525866"/>
          <w:sz w:val="22"/>
        </w:rPr>
        <w:t xml:space="preserve"> that should support VLTO's Q2 core growth acceleration narrative. The one cautionary note is Kemira's soft industrial water demand, though that is more relevant to European chemical-intensive industries than VLTO's municipal/CPG mix.</w:t>
      </w:r>
    </w:p>
    <w:p>
      <w:r>
        <w:rPr>
          <w:rFonts w:ascii="Calibri" w:hAnsi="Calibri"/>
          <w:i/>
          <w:color w:val="525866"/>
          <w:sz w:val="22"/>
        </w:rPr>
        <w:t>Note: Only commentary from Q2 2026 earnings calls (reporting on the April–June 2026 quarter) is included below. Q1 2025 results or prior-quarter retrospectives are excluded.</w:t>
      </w:r>
    </w:p>
    <w:p>
      <w:pPr>
        <w:pStyle w:val="Heading3"/>
      </w:pPr>
      <w:r>
        <w:rPr>
          <w:rFonts w:ascii="Calibri" w:hAnsi="Calibri"/>
          <w:b/>
          <w:color w:val="3B4259"/>
          <w:sz w:val="24"/>
        </w:rPr>
        <w:t>Danaher (DHR) — Q2 2026 Earnings Call (July 21, 2026)</w:t>
      </w:r>
    </w:p>
    <w:p>
      <w:r>
        <w:rPr>
          <w:rFonts w:ascii="Calibri" w:hAnsi="Calibri"/>
          <w:b/>
          <w:color w:val="525866"/>
          <w:sz w:val="22"/>
        </w:rPr>
        <w:t>Relevance to VLTO:</w:t>
      </w:r>
      <w:r>
        <w:rPr>
          <w:rFonts w:ascii="Calibri" w:hAnsi="Calibri"/>
          <w:color w:val="525866"/>
          <w:sz w:val="22"/>
        </w:rPr>
        <w:t xml:space="preserve"> DHR is the closest structural peer — both operate in water quality instrumentation, life sciences filtration, and industrial testing. DHR's core growth trajectory is a direct read-through for VLTO's Water Quality segment demand and broader industrial instrumentation trends.</w:t>
      </w:r>
    </w:p>
    <w:p>
      <w:pPr>
        <w:pStyle w:val="ListBullet"/>
        <w:ind w:left="360" w:hanging="360"/>
      </w:pPr>
      <w:r>
        <w:rPr>
          <w:rFonts w:ascii="Calibri" w:hAnsi="Calibri"/>
          <w:color w:val="525866"/>
          <w:sz w:val="22"/>
        </w:rPr>
        <w:t>Core growth accelerated to +3% YoY in Q2 2026 (vs. +1.5% in Q1), with growth ex-respiratory testing at +4.5% — a 150 bps acceleration from Q1.</w:t>
      </w:r>
      <w:r>
        <w:rPr>
          <w:rFonts w:ascii="Calibri" w:hAnsi="Calibri"/>
          <w:b/>
          <w:color w:val="525866"/>
          <w:sz w:val="22"/>
        </w:rPr>
        <w:t xml:space="preserve"> Read-through:</w:t>
      </w:r>
      <w:r>
        <w:rPr>
          <w:rFonts w:ascii="Calibri" w:hAnsi="Calibri"/>
          <w:color w:val="525866"/>
          <w:sz w:val="22"/>
        </w:rPr>
        <w:t xml:space="preserve"> Supports VLTO's narrative that core growth should accelerate sequentially in Q2 from Q1's 1.9%.</w:t>
      </w:r>
    </w:p>
    <w:p>
      <w:pPr>
        <w:pStyle w:val="ListBullet"/>
        <w:ind w:left="360" w:hanging="360"/>
      </w:pPr>
      <w:r>
        <w:rPr>
          <w:rFonts w:ascii="Calibri" w:hAnsi="Calibri"/>
          <w:color w:val="525866"/>
          <w:sz w:val="22"/>
        </w:rPr>
        <w:t>Life Sciences segment core revenue +5.5%; Pall's applied filtration business +~10%, led by microelectronics (semiconductor manufacturing workflow).</w:t>
      </w:r>
      <w:r>
        <w:rPr>
          <w:rFonts w:ascii="Calibri" w:hAnsi="Calibri"/>
          <w:b/>
          <w:color w:val="525866"/>
          <w:sz w:val="22"/>
        </w:rPr>
        <w:t xml:space="preserve"> Read-through:</w:t>
      </w:r>
      <w:r>
        <w:rPr>
          <w:rFonts w:ascii="Calibri" w:hAnsi="Calibri"/>
          <w:color w:val="525866"/>
          <w:sz w:val="22"/>
        </w:rPr>
        <w:t xml:space="preserve"> Semiconductor/data center-adjacent water and filtration demand is robust — positive for VLTO's Water Quality industrial sub-segment (semiconductor, power, mining).</w:t>
      </w:r>
    </w:p>
    <w:p>
      <w:pPr>
        <w:pStyle w:val="ListBullet"/>
        <w:ind w:left="360" w:hanging="360"/>
      </w:pPr>
      <w:r>
        <w:rPr>
          <w:rFonts w:ascii="Calibri" w:hAnsi="Calibri"/>
          <w:color w:val="525866"/>
          <w:sz w:val="22"/>
        </w:rPr>
        <w:t>High-growth markets (including China) core revenue +10%+; China mid-single-digit growth with biotechnology solid and diagnostics improving sequentially as VBP headwinds lessen.</w:t>
      </w:r>
      <w:r>
        <w:rPr>
          <w:rFonts w:ascii="Calibri" w:hAnsi="Calibri"/>
          <w:b/>
          <w:color w:val="525866"/>
          <w:sz w:val="22"/>
        </w:rPr>
        <w:t xml:space="preserve"> Read-through:</w:t>
      </w:r>
      <w:r>
        <w:rPr>
          <w:rFonts w:ascii="Calibri" w:hAnsi="Calibri"/>
          <w:color w:val="525866"/>
          <w:sz w:val="22"/>
        </w:rPr>
        <w:t xml:space="preserve"> China stabilization is a modest positive for VLTO's China Water Quality business, which was down low single digits in Q1 due to municipal funding constraints.</w:t>
      </w:r>
    </w:p>
    <w:p>
      <w:pPr>
        <w:pStyle w:val="ListBullet"/>
        <w:ind w:left="360" w:hanging="360"/>
      </w:pPr>
      <w:r>
        <w:rPr>
          <w:rFonts w:ascii="Calibri" w:hAnsi="Calibri"/>
          <w:color w:val="525866"/>
          <w:sz w:val="22"/>
        </w:rPr>
        <w:t>Full-year 2026 core revenue growth outlook maintained at 3–4%; Q3 expected at ~5% ex-respiratory (acceleration).</w:t>
      </w:r>
      <w:r>
        <w:rPr>
          <w:rFonts w:ascii="Calibri" w:hAnsi="Calibri"/>
          <w:b/>
          <w:color w:val="525866"/>
          <w:sz w:val="22"/>
        </w:rPr>
        <w:t xml:space="preserve"> Read-through:</w:t>
      </w:r>
      <w:r>
        <w:rPr>
          <w:rFonts w:ascii="Calibri" w:hAnsi="Calibri"/>
          <w:color w:val="525866"/>
          <w:sz w:val="22"/>
        </w:rPr>
        <w:t xml:space="preserve"> Consistent with VLTO's sequential acceleration narrative; DHR's confidence in H2 is a positive signal for the broader industrial instrumentation demand environment.</w:t>
      </w:r>
    </w:p>
    <w:p>
      <w:pPr>
        <w:pStyle w:val="ListBullet"/>
        <w:ind w:left="360" w:hanging="360"/>
      </w:pPr>
      <w:r>
        <w:rPr>
          <w:rFonts w:ascii="Calibri" w:hAnsi="Calibri"/>
          <w:color w:val="525866"/>
          <w:sz w:val="22"/>
        </w:rPr>
        <w:t>Underlying demand remained "very healthy" with mid-teens order growth in bioprocessing consumables and equipment despite some large shipment timing delays.</w:t>
      </w:r>
      <w:r>
        <w:rPr>
          <w:rFonts w:ascii="Calibri" w:hAnsi="Calibri"/>
          <w:b/>
          <w:color w:val="525866"/>
          <w:sz w:val="22"/>
        </w:rPr>
        <w:t xml:space="preserve"> Read-through:</w:t>
      </w:r>
      <w:r>
        <w:rPr>
          <w:rFonts w:ascii="Calibri" w:hAnsi="Calibri"/>
          <w:color w:val="525866"/>
          <w:sz w:val="22"/>
        </w:rPr>
        <w:t xml:space="preserve"> Order momentum is strong even where revenue timing was lumpy — a positive leading indicator for VLTO's recurring revenue base.</w:t>
      </w:r>
    </w:p>
    <w:p>
      <w:pPr>
        <w:pStyle w:val="Heading3"/>
      </w:pPr>
      <w:r>
        <w:rPr>
          <w:rFonts w:ascii="Calibri" w:hAnsi="Calibri"/>
          <w:b/>
          <w:color w:val="3B4259"/>
          <w:sz w:val="24"/>
        </w:rPr>
        <w:t>Honeywell Technologies (HON) — Q2 2026 Earnings Call (July 23, 2026)</w:t>
      </w:r>
    </w:p>
    <w:p>
      <w:r>
        <w:rPr>
          <w:rFonts w:ascii="Calibri" w:hAnsi="Calibri"/>
          <w:b/>
          <w:color w:val="525866"/>
          <w:sz w:val="22"/>
        </w:rPr>
        <w:t>Relevance to VLTO:</w:t>
      </w:r>
      <w:r>
        <w:rPr>
          <w:rFonts w:ascii="Calibri" w:hAnsi="Calibri"/>
          <w:color w:val="525866"/>
          <w:sz w:val="22"/>
        </w:rPr>
        <w:t xml:space="preserve"> HON's Industrial Automation and Process Automation segments overlap with VLTO's industrial end markets (sensing, measurement, process instrumentation). HON's CPG and food/beverage exposure is less direct, but its industrial demand read is relevant.</w:t>
      </w:r>
    </w:p>
    <w:p>
      <w:pPr>
        <w:pStyle w:val="ListBullet"/>
        <w:ind w:left="360" w:hanging="360"/>
      </w:pPr>
      <w:r>
        <w:rPr>
          <w:rFonts w:ascii="Calibri" w:hAnsi="Calibri"/>
          <w:color w:val="525866"/>
          <w:sz w:val="22"/>
        </w:rPr>
        <w:t>HON delivered 4% organic sales growth in Q2 2026, beating expectations. Industrial Automation +4% organically; short-cycle orders grew double-digit across all segments.</w:t>
      </w:r>
      <w:r>
        <w:rPr>
          <w:rFonts w:ascii="Calibri" w:hAnsi="Calibri"/>
          <w:b/>
          <w:color w:val="525866"/>
          <w:sz w:val="22"/>
        </w:rPr>
        <w:t xml:space="preserve"> Read-through:</w:t>
      </w:r>
      <w:r>
        <w:rPr>
          <w:rFonts w:ascii="Calibri" w:hAnsi="Calibri"/>
          <w:color w:val="525866"/>
          <w:sz w:val="22"/>
        </w:rPr>
        <w:t xml:space="preserve"> Short-cycle industrial demand is recovering broadly — positive for VLTO's Water Quality industrial sub-segment and PQI's marking/coding equipment demand.</w:t>
      </w:r>
    </w:p>
    <w:p>
      <w:pPr>
        <w:pStyle w:val="ListBullet"/>
        <w:ind w:left="360" w:hanging="360"/>
      </w:pPr>
      <w:r>
        <w:rPr>
          <w:rFonts w:ascii="Calibri" w:hAnsi="Calibri"/>
          <w:color w:val="525866"/>
          <w:sz w:val="22"/>
        </w:rPr>
        <w:t>Sensing and industrial measurement orders up &gt;20% in Q2; full-year Industrial Automation organic growth raised from ~flat to up low single digits.</w:t>
      </w:r>
      <w:r>
        <w:rPr>
          <w:rFonts w:ascii="Calibri" w:hAnsi="Calibri"/>
          <w:b/>
          <w:color w:val="525866"/>
          <w:sz w:val="22"/>
        </w:rPr>
        <w:t xml:space="preserve"> Read-through:</w:t>
      </w:r>
      <w:r>
        <w:rPr>
          <w:rFonts w:ascii="Calibri" w:hAnsi="Calibri"/>
          <w:color w:val="525866"/>
          <w:sz w:val="22"/>
        </w:rPr>
        <w:t xml:space="preserve"> Strong sensing/measurement demand is a direct positive for VLTO's process instrumentation and water analytics businesses (Hach, ChemTreat).</w:t>
      </w:r>
    </w:p>
    <w:p>
      <w:pPr>
        <w:pStyle w:val="ListBullet"/>
        <w:ind w:left="360" w:hanging="360"/>
      </w:pPr>
      <w:r>
        <w:rPr>
          <w:rFonts w:ascii="Calibri" w:hAnsi="Calibri"/>
          <w:color w:val="525866"/>
          <w:sz w:val="22"/>
        </w:rPr>
        <w:t>Data center opportunity expanding: building automation data center revenue grew from "almost nothing 3–4 years ago" to ~5% of building automation; liquid cooling sensors are a new growth vector.</w:t>
      </w:r>
      <w:r>
        <w:rPr>
          <w:rFonts w:ascii="Calibri" w:hAnsi="Calibri"/>
          <w:b/>
          <w:color w:val="525866"/>
          <w:sz w:val="22"/>
        </w:rPr>
        <w:t xml:space="preserve"> Read-through:</w:t>
      </w:r>
      <w:r>
        <w:rPr>
          <w:rFonts w:ascii="Calibri" w:hAnsi="Calibri"/>
          <w:color w:val="525866"/>
          <w:sz w:val="22"/>
        </w:rPr>
        <w:t xml:space="preserve"> Corroborates VLTO's data center water opportunity narrative; the market is real and growing, though still small as a % of total revenue for both companies.</w:t>
      </w:r>
    </w:p>
    <w:p>
      <w:pPr>
        <w:pStyle w:val="ListBullet"/>
        <w:ind w:left="360" w:hanging="360"/>
      </w:pPr>
      <w:r>
        <w:rPr>
          <w:rFonts w:ascii="Calibri" w:hAnsi="Calibri"/>
          <w:color w:val="525866"/>
          <w:sz w:val="22"/>
        </w:rPr>
        <w:t>Full-year organic growth guidance raised to 3–4% (from 2–3%); H2 expected at 4–6% organic growth.</w:t>
      </w:r>
      <w:r>
        <w:rPr>
          <w:rFonts w:ascii="Calibri" w:hAnsi="Calibri"/>
          <w:b/>
          <w:color w:val="525866"/>
          <w:sz w:val="22"/>
        </w:rPr>
        <w:t xml:space="preserve"> Read-through:</w:t>
      </w:r>
      <w:r>
        <w:rPr>
          <w:rFonts w:ascii="Calibri" w:hAnsi="Calibri"/>
          <w:color w:val="525866"/>
          <w:sz w:val="22"/>
        </w:rPr>
        <w:t xml:space="preserve"> HON's raised guidance and H2 acceleration narrative is a strong positive read-through for VLTO's own sequential acceleration story.</w:t>
      </w:r>
    </w:p>
    <w:p>
      <w:pPr>
        <w:pStyle w:val="ListBullet"/>
        <w:ind w:left="360" w:hanging="360"/>
      </w:pPr>
      <w:r>
        <w:rPr>
          <w:rFonts w:ascii="Calibri" w:hAnsi="Calibri"/>
          <w:color w:val="525866"/>
          <w:sz w:val="22"/>
        </w:rPr>
        <w:t>Pricing at ~3.7% in Q2, expected ~4% in H2; inflation "stubborn" in electronics, memory, copper, and labor.</w:t>
      </w:r>
      <w:r>
        <w:rPr>
          <w:rFonts w:ascii="Calibri" w:hAnsi="Calibri"/>
          <w:b/>
          <w:color w:val="525866"/>
          <w:sz w:val="22"/>
        </w:rPr>
        <w:t xml:space="preserve"> Read-through:</w:t>
      </w:r>
      <w:r>
        <w:rPr>
          <w:rFonts w:ascii="Calibri" w:hAnsi="Calibri"/>
          <w:color w:val="525866"/>
          <w:sz w:val="22"/>
        </w:rPr>
        <w:t xml:space="preserve"> Pricing environment remains supportive for VLTO, which has been pricing at the high end of its range. Electronic component cost pressure (noted by Badger Meter as well) is a watch item for VLTO's instrument manufacturing costs.</w:t>
      </w:r>
    </w:p>
    <w:p>
      <w:pPr>
        <w:pStyle w:val="Heading3"/>
      </w:pPr>
      <w:r>
        <w:rPr>
          <w:rFonts w:ascii="Calibri" w:hAnsi="Calibri"/>
          <w:b/>
          <w:color w:val="3B4259"/>
          <w:sz w:val="24"/>
        </w:rPr>
        <w:t>Badger Meter (BMI) — Q2 2026 Earnings Call (July 22, 2026)</w:t>
      </w:r>
    </w:p>
    <w:p>
      <w:r>
        <w:rPr>
          <w:rFonts w:ascii="Calibri" w:hAnsi="Calibri"/>
          <w:b/>
          <w:color w:val="525866"/>
          <w:sz w:val="22"/>
        </w:rPr>
        <w:t>Relevance to VLTO:</w:t>
      </w:r>
      <w:r>
        <w:rPr>
          <w:rFonts w:ascii="Calibri" w:hAnsi="Calibri"/>
          <w:color w:val="525866"/>
          <w:sz w:val="22"/>
        </w:rPr>
        <w:t xml:space="preserve"> BMI is a direct peer in water metering and flow instrumentation for utilities. Its commentary on municipal water demand, utility modernization, and data center water is the most direct read-through for VLTO's Water Quality segment.</w:t>
      </w:r>
    </w:p>
    <w:p>
      <w:pPr>
        <w:pStyle w:val="ListBullet"/>
        <w:ind w:left="360" w:hanging="360"/>
      </w:pPr>
      <w:r>
        <w:rPr>
          <w:rFonts w:ascii="Calibri" w:hAnsi="Calibri"/>
          <w:color w:val="525866"/>
          <w:sz w:val="22"/>
        </w:rPr>
        <w:t>Total Q2 2026 sales -7% YoY (base sales -7.5%), but base sales were +9% sequentially vs. Q1 as awarded projects began ramping shipments.</w:t>
      </w:r>
      <w:r>
        <w:rPr>
          <w:rFonts w:ascii="Calibri" w:hAnsi="Calibri"/>
          <w:b/>
          <w:color w:val="525866"/>
          <w:sz w:val="22"/>
        </w:rPr>
        <w:t xml:space="preserve"> Read-through:</w:t>
      </w:r>
      <w:r>
        <w:rPr>
          <w:rFonts w:ascii="Calibri" w:hAnsi="Calibri"/>
          <w:color w:val="525866"/>
          <w:sz w:val="22"/>
        </w:rPr>
        <w:t xml:space="preserve"> BMI's YoY decline is company-specific (project pacing dynamics in smart metering deployments) and not a read-through for VLTO's water analytics/treatment business, which has a different demand profile.</w:t>
      </w:r>
    </w:p>
    <w:p>
      <w:pPr>
        <w:pStyle w:val="ListBullet"/>
        <w:ind w:left="360" w:hanging="360"/>
      </w:pPr>
      <w:r>
        <w:rPr>
          <w:rFonts w:ascii="Calibri" w:hAnsi="Calibri"/>
          <w:color w:val="525866"/>
          <w:sz w:val="22"/>
        </w:rPr>
        <w:t>Utility water sales improved +8% sequentially on an organic basis; short-term order rates improved in Q2 vs. Q1 ("more normal-ish"); full-year organic revenue expected to be "roughly flattish" with 2025.</w:t>
      </w:r>
      <w:r>
        <w:rPr>
          <w:rFonts w:ascii="Calibri" w:hAnsi="Calibri"/>
          <w:b/>
          <w:color w:val="525866"/>
          <w:sz w:val="22"/>
        </w:rPr>
        <w:t xml:space="preserve"> Read-through:</w:t>
      </w:r>
      <w:r>
        <w:rPr>
          <w:rFonts w:ascii="Calibri" w:hAnsi="Calibri"/>
          <w:color w:val="525866"/>
          <w:sz w:val="22"/>
        </w:rPr>
        <w:t xml:space="preserve"> Sequential improvement in utility water demand is a mild positive for VLTO's municipal Water Quality business, though VLTO's Hach/ChemTreat are consumables-driven (more recurring) vs. BMI's project-driven metering.</w:t>
      </w:r>
    </w:p>
    <w:p>
      <w:pPr>
        <w:pStyle w:val="ListBullet"/>
        <w:ind w:left="360" w:hanging="360"/>
      </w:pPr>
      <w:r>
        <w:rPr>
          <w:rFonts w:ascii="Calibri" w:hAnsi="Calibri"/>
          <w:color w:val="525866"/>
          <w:sz w:val="22"/>
        </w:rPr>
        <w:t>Flow Instrumentation product line +6% YoY with "broad-based water application demand"; data center opportunities in clamp-on meters and mag meters for cooling towers.</w:t>
      </w:r>
      <w:r>
        <w:rPr>
          <w:rFonts w:ascii="Calibri" w:hAnsi="Calibri"/>
          <w:b/>
          <w:color w:val="525866"/>
          <w:sz w:val="22"/>
        </w:rPr>
        <w:t xml:space="preserve"> Read-through:</w:t>
      </w:r>
      <w:r>
        <w:rPr>
          <w:rFonts w:ascii="Calibri" w:hAnsi="Calibri"/>
          <w:color w:val="525866"/>
          <w:sz w:val="22"/>
        </w:rPr>
        <w:t xml:space="preserve"> Broad-based water application demand is a positive signal for VLTO's Water Quality recurring revenue base.</w:t>
      </w:r>
    </w:p>
    <w:p>
      <w:pPr>
        <w:pStyle w:val="ListBullet"/>
        <w:ind w:left="360" w:hanging="360"/>
      </w:pPr>
      <w:r>
        <w:rPr>
          <w:rFonts w:ascii="Calibri" w:hAnsi="Calibri"/>
          <w:color w:val="525866"/>
          <w:sz w:val="22"/>
        </w:rPr>
        <w:t>Long-term secular drivers for water sector modernization "remain intact"; utilities "continue to prioritize modernization, efficiency and visibility."</w:t>
      </w:r>
      <w:r>
        <w:rPr>
          <w:rFonts w:ascii="Calibri" w:hAnsi="Calibri"/>
          <w:b/>
          <w:color w:val="525866"/>
          <w:sz w:val="22"/>
        </w:rPr>
        <w:t xml:space="preserve"> Read-through:</w:t>
      </w:r>
      <w:r>
        <w:rPr>
          <w:rFonts w:ascii="Calibri" w:hAnsi="Calibri"/>
          <w:color w:val="525866"/>
          <w:sz w:val="22"/>
        </w:rPr>
        <w:t xml:space="preserve"> Confirms the structural demand backdrop for VLTO's Water Quality segment is healthy, supporting the mid-single-digit municipal growth narrative.</w:t>
      </w:r>
    </w:p>
    <w:p>
      <w:pPr>
        <w:pStyle w:val="ListBullet"/>
        <w:ind w:left="360" w:hanging="360"/>
      </w:pPr>
      <w:r>
        <w:rPr>
          <w:rFonts w:ascii="Calibri" w:hAnsi="Calibri"/>
          <w:color w:val="525866"/>
          <w:sz w:val="22"/>
        </w:rPr>
        <w:t>Electronic component cost and availability pressures are "increasing" as a byproduct of AI/data center build-out demand; "challenges posed by these pressures are not easing."</w:t>
      </w:r>
      <w:r>
        <w:rPr>
          <w:rFonts w:ascii="Calibri" w:hAnsi="Calibri"/>
          <w:b/>
          <w:color w:val="525866"/>
          <w:sz w:val="22"/>
        </w:rPr>
        <w:t xml:space="preserve"> Read-through:</w:t>
      </w:r>
      <w:r>
        <w:rPr>
          <w:rFonts w:ascii="Calibri" w:hAnsi="Calibri"/>
          <w:color w:val="525866"/>
          <w:sz w:val="22"/>
        </w:rPr>
        <w:t xml:space="preserve"> A watch item for VLTO's instrument manufacturing costs; if electronic component inflation persists, it could pressure gross margins in Water Quality instruments.</w:t>
      </w:r>
    </w:p>
    <w:p>
      <w:pPr>
        <w:pStyle w:val="Heading3"/>
      </w:pPr>
      <w:r>
        <w:rPr>
          <w:rFonts w:ascii="Calibri" w:hAnsi="Calibri"/>
          <w:b/>
          <w:color w:val="3B4259"/>
          <w:sz w:val="24"/>
        </w:rPr>
        <w:t>SGS SA (SGSN SW) — H1 2026 Earnings Call (July 24, 2026)</w:t>
      </w:r>
    </w:p>
    <w:p>
      <w:r>
        <w:rPr>
          <w:rFonts w:ascii="Calibri" w:hAnsi="Calibri"/>
          <w:b/>
          <w:color w:val="525866"/>
          <w:sz w:val="22"/>
        </w:rPr>
        <w:t>Relevance to VLTO:</w:t>
      </w:r>
      <w:r>
        <w:rPr>
          <w:rFonts w:ascii="Calibri" w:hAnsi="Calibri"/>
          <w:color w:val="525866"/>
          <w:sz w:val="22"/>
        </w:rPr>
        <w:t xml:space="preserve"> SGS is a global testing, inspection, and certification company with significant food/beverage, CPG, and product quality exposure — directly relevant to VLTO's PQI segment (Videojet, Esko, TraceGains) and its CPG customer base.</w:t>
      </w:r>
    </w:p>
    <w:p>
      <w:pPr>
        <w:pStyle w:val="ListBullet"/>
        <w:ind w:left="360" w:hanging="360"/>
      </w:pPr>
      <w:r>
        <w:rPr>
          <w:rFonts w:ascii="Calibri" w:hAnsi="Calibri"/>
          <w:color w:val="525866"/>
          <w:sz w:val="22"/>
        </w:rPr>
        <w:t>H1 2026 organic growth of 5.6% (would have been &gt;6% ex-Middle East disruptions); Q2 exit rates described as "nice" in both organic growth and margins.</w:t>
      </w:r>
      <w:r>
        <w:rPr>
          <w:rFonts w:ascii="Calibri" w:hAnsi="Calibri"/>
          <w:b/>
          <w:color w:val="525866"/>
          <w:sz w:val="22"/>
        </w:rPr>
        <w:t xml:space="preserve"> Read-through:</w:t>
      </w:r>
      <w:r>
        <w:rPr>
          <w:rFonts w:ascii="Calibri" w:hAnsi="Calibri"/>
          <w:color w:val="525866"/>
          <w:sz w:val="22"/>
        </w:rPr>
        <w:t xml:space="preserve"> Strong testing/certification demand from CPG and food/beverage customers is a positive read-through for VLTO's PQI segment, which serves the same CPG customer base with marking/coding and packaging software.</w:t>
      </w:r>
    </w:p>
    <w:p>
      <w:pPr>
        <w:pStyle w:val="ListBullet"/>
        <w:ind w:left="360" w:hanging="360"/>
      </w:pPr>
      <w:r>
        <w:rPr>
          <w:rFonts w:ascii="Calibri" w:hAnsi="Calibri"/>
          <w:color w:val="525866"/>
          <w:sz w:val="22"/>
        </w:rPr>
        <w:t>Food segment delivered high-single-digit organic growth led by Asia Pacific and Europe; North America food grew double-digits with "no signs of slowing down."</w:t>
      </w:r>
      <w:r>
        <w:rPr>
          <w:rFonts w:ascii="Calibri" w:hAnsi="Calibri"/>
          <w:b/>
          <w:color w:val="525866"/>
          <w:sz w:val="22"/>
        </w:rPr>
        <w:t xml:space="preserve"> Read-through:</w:t>
      </w:r>
      <w:r>
        <w:rPr>
          <w:rFonts w:ascii="Calibri" w:hAnsi="Calibri"/>
          <w:color w:val="525866"/>
          <w:sz w:val="22"/>
        </w:rPr>
        <w:t xml:space="preserve"> Robust food/beverage demand is a direct positive for VLTO's Videojet (marking/coding) and TraceGains (ingredient management) businesses, which serve food manufacturers.</w:t>
      </w:r>
    </w:p>
    <w:p>
      <w:pPr>
        <w:pStyle w:val="ListBullet"/>
        <w:ind w:left="360" w:hanging="360"/>
      </w:pPr>
      <w:r>
        <w:rPr>
          <w:rFonts w:ascii="Calibri" w:hAnsi="Calibri"/>
          <w:color w:val="525866"/>
          <w:sz w:val="22"/>
        </w:rPr>
        <w:t>Business Assurance (certification) +7.3% organic; Digital Trust (cybersecurity, AI assurance) +18% organic; Sustainability (GHG verification) double-digit organic.</w:t>
      </w:r>
      <w:r>
        <w:rPr>
          <w:rFonts w:ascii="Calibri" w:hAnsi="Calibri"/>
          <w:b/>
          <w:color w:val="525866"/>
          <w:sz w:val="22"/>
        </w:rPr>
        <w:t xml:space="preserve"> Read-through:</w:t>
      </w:r>
      <w:r>
        <w:rPr>
          <w:rFonts w:ascii="Calibri" w:hAnsi="Calibri"/>
          <w:color w:val="525866"/>
          <w:sz w:val="22"/>
        </w:rPr>
        <w:t xml:space="preserve"> Growing regulatory and compliance requirements in food safety and sustainability are secular tailwinds for VLTO's TraceGains and Esko (packaging compliance) platforms.</w:t>
      </w:r>
    </w:p>
    <w:p>
      <w:pPr>
        <w:pStyle w:val="ListBullet"/>
        <w:ind w:left="360" w:hanging="360"/>
      </w:pPr>
      <w:r>
        <w:rPr>
          <w:rFonts w:ascii="Calibri" w:hAnsi="Calibri"/>
          <w:color w:val="525866"/>
          <w:sz w:val="22"/>
        </w:rPr>
        <w:t>Softline (textiles/apparel testing) grew double-digit with strong PFAs testing momentum; Headlines (home appliances, food contact material) high-single-digit.</w:t>
      </w:r>
      <w:r>
        <w:rPr>
          <w:rFonts w:ascii="Calibri" w:hAnsi="Calibri"/>
          <w:b/>
          <w:color w:val="525866"/>
          <w:sz w:val="22"/>
        </w:rPr>
        <w:t xml:space="preserve"> Read-through:</w:t>
      </w:r>
      <w:r>
        <w:rPr>
          <w:rFonts w:ascii="Calibri" w:hAnsi="Calibri"/>
          <w:color w:val="525866"/>
          <w:sz w:val="22"/>
        </w:rPr>
        <w:t xml:space="preserve"> Textiles is one of the discrete industrial end markets where VLTO's PQI saw weakness in Q1 (color testing equipment). SGS's double-digit softline growth suggests the textiles end market may be recovering faster than VLTO's Q1 commentary implied.</w:t>
      </w:r>
    </w:p>
    <w:p>
      <w:pPr>
        <w:pStyle w:val="ListBullet"/>
        <w:ind w:left="360" w:hanging="360"/>
      </w:pPr>
      <w:r>
        <w:rPr>
          <w:rFonts w:ascii="Calibri" w:hAnsi="Calibri"/>
          <w:color w:val="525866"/>
          <w:sz w:val="22"/>
        </w:rPr>
        <w:t>North America followed a soft Q1 with double-digit growth in Q2, led by industries/environment and health/nutrition.</w:t>
      </w:r>
      <w:r>
        <w:rPr>
          <w:rFonts w:ascii="Calibri" w:hAnsi="Calibri"/>
          <w:b/>
          <w:color w:val="525866"/>
          <w:sz w:val="22"/>
        </w:rPr>
        <w:t xml:space="preserve"> Read-through:</w:t>
      </w:r>
      <w:r>
        <w:rPr>
          <w:rFonts w:ascii="Calibri" w:hAnsi="Calibri"/>
          <w:color w:val="525866"/>
          <w:sz w:val="22"/>
        </w:rPr>
        <w:t xml:space="preserve"> North America demand acceleration in Q2 is a positive signal for VLTO's PQI recovery narrative, as North America is a key market for Videojet and Esko.</w:t>
      </w:r>
    </w:p>
    <w:p>
      <w:pPr>
        <w:pStyle w:val="Heading3"/>
      </w:pPr>
      <w:r>
        <w:rPr>
          <w:rFonts w:ascii="Calibri" w:hAnsi="Calibri"/>
          <w:b/>
          <w:color w:val="3B4259"/>
          <w:sz w:val="24"/>
        </w:rPr>
        <w:t>Roper Technologies (ROP) — Q2 2026 Earnings Call (July 23, 2026)</w:t>
      </w:r>
    </w:p>
    <w:p>
      <w:r>
        <w:rPr>
          <w:rFonts w:ascii="Calibri" w:hAnsi="Calibri"/>
          <w:b/>
          <w:color w:val="525866"/>
          <w:sz w:val="22"/>
        </w:rPr>
        <w:t>Relevance to VLTO:</w:t>
      </w:r>
      <w:r>
        <w:rPr>
          <w:rFonts w:ascii="Calibri" w:hAnsi="Calibri"/>
          <w:color w:val="525866"/>
          <w:sz w:val="22"/>
        </w:rPr>
        <w:t xml:space="preserve"> ROP is a diversified industrial technology company with software and niche industrial businesses. Its Neptune water metering business is a direct peer to VLTO's Water Quality segment; its broader software/recurring revenue model is analogous to VLTO's recurring revenue mix.</w:t>
      </w:r>
    </w:p>
    <w:p>
      <w:pPr>
        <w:pStyle w:val="ListBullet"/>
        <w:ind w:left="360" w:hanging="360"/>
      </w:pPr>
      <w:r>
        <w:rPr>
          <w:rFonts w:ascii="Calibri" w:hAnsi="Calibri"/>
          <w:color w:val="525866"/>
          <w:sz w:val="22"/>
        </w:rPr>
        <w:t>Total organic revenue +5% in Q2 2026; organic recurring revenue across software segments +7%; full-year organic revenue guidance raised to ~6%.</w:t>
      </w:r>
      <w:r>
        <w:rPr>
          <w:rFonts w:ascii="Calibri" w:hAnsi="Calibri"/>
          <w:b/>
          <w:color w:val="525866"/>
          <w:sz w:val="22"/>
        </w:rPr>
        <w:t xml:space="preserve"> Read-through:</w:t>
      </w:r>
      <w:r>
        <w:rPr>
          <w:rFonts w:ascii="Calibri" w:hAnsi="Calibri"/>
          <w:color w:val="525866"/>
          <w:sz w:val="22"/>
        </w:rPr>
        <w:t xml:space="preserve"> Strong recurring revenue growth at ROP is a positive signal for VLTO's ~60% recurring revenue base, which management has consistently highlighted as a source of resilience.</w:t>
      </w:r>
    </w:p>
    <w:p>
      <w:pPr>
        <w:pStyle w:val="ListBullet"/>
        <w:ind w:left="360" w:hanging="360"/>
      </w:pPr>
      <w:r>
        <w:rPr>
          <w:rFonts w:ascii="Calibri" w:hAnsi="Calibri"/>
          <w:color w:val="525866"/>
          <w:sz w:val="22"/>
        </w:rPr>
        <w:t>Neptune (water metering) revenue declined modestly YoY but came in ahead of expectations; strong mechanical meter volumes and Unilink growth; metering business on track to return to growth in H2 2026.</w:t>
      </w:r>
      <w:r>
        <w:rPr>
          <w:rFonts w:ascii="Calibri" w:hAnsi="Calibri"/>
          <w:b/>
          <w:color w:val="525866"/>
          <w:sz w:val="22"/>
        </w:rPr>
        <w:t xml:space="preserve"> Read-through:</w:t>
      </w:r>
      <w:r>
        <w:rPr>
          <w:rFonts w:ascii="Calibri" w:hAnsi="Calibri"/>
          <w:color w:val="525866"/>
          <w:sz w:val="22"/>
        </w:rPr>
        <w:t xml:space="preserve"> Neptune's sequential improvement and H2 growth return is a mild positive for the broader water infrastructure demand environment, though VLTO's water analytics/treatment is less project-dependent.</w:t>
      </w:r>
    </w:p>
    <w:p>
      <w:pPr>
        <w:pStyle w:val="ListBullet"/>
        <w:ind w:left="360" w:hanging="360"/>
      </w:pPr>
      <w:r>
        <w:rPr>
          <w:rFonts w:ascii="Calibri" w:hAnsi="Calibri"/>
          <w:color w:val="525866"/>
          <w:sz w:val="22"/>
        </w:rPr>
        <w:t>Neptune faced input cost pressure from bronze ingot inflation (copper-driven, linked to data center demand); EBITDA margin down 70 bps in Tech segment due to higher input costs.</w:t>
      </w:r>
      <w:r>
        <w:rPr>
          <w:rFonts w:ascii="Calibri" w:hAnsi="Calibri"/>
          <w:b/>
          <w:color w:val="525866"/>
          <w:sz w:val="22"/>
        </w:rPr>
        <w:t xml:space="preserve"> Read-through:</w:t>
      </w:r>
      <w:r>
        <w:rPr>
          <w:rFonts w:ascii="Calibri" w:hAnsi="Calibri"/>
          <w:color w:val="525866"/>
          <w:sz w:val="22"/>
        </w:rPr>
        <w:t xml:space="preserve"> Copper/electronic component inflation is a shared headwind for industrial instrument manufacturers including VLTO; watch for any gross margin commentary in Q2.</w:t>
      </w:r>
    </w:p>
    <w:p>
      <w:pPr>
        <w:pStyle w:val="ListBullet"/>
        <w:ind w:left="360" w:hanging="360"/>
      </w:pPr>
      <w:r>
        <w:rPr>
          <w:rFonts w:ascii="Calibri" w:hAnsi="Calibri"/>
          <w:color w:val="525866"/>
          <w:sz w:val="22"/>
        </w:rPr>
        <w:t>M&amp;A market expected to "break loose" later in 2026 and into 2027; ROP targeting $5B+ in acquisitions over next 12–18 months; sponsor conversations are "real" with valuation expectations converging.</w:t>
      </w:r>
      <w:r>
        <w:rPr>
          <w:rFonts w:ascii="Calibri" w:hAnsi="Calibri"/>
          <w:b/>
          <w:color w:val="525866"/>
          <w:sz w:val="22"/>
        </w:rPr>
        <w:t xml:space="preserve"> Read-through:</w:t>
      </w:r>
      <w:r>
        <w:rPr>
          <w:rFonts w:ascii="Calibri" w:hAnsi="Calibri"/>
          <w:color w:val="525866"/>
          <w:sz w:val="22"/>
        </w:rPr>
        <w:t xml:space="preserve"> An improving M&amp;A market benefits VLTO, which has stated its bias remains M&amp;A. A more active deal environment could accelerate VLTO's capital deployment and inorganic growth.</w:t>
      </w:r>
    </w:p>
    <w:p>
      <w:pPr>
        <w:pStyle w:val="Heading3"/>
      </w:pPr>
      <w:r>
        <w:rPr>
          <w:rFonts w:ascii="Calibri" w:hAnsi="Calibri"/>
          <w:b/>
          <w:color w:val="3B4259"/>
          <w:sz w:val="24"/>
        </w:rPr>
        <w:t>Kemira (KEMIRA FH) — Q2 2026 Earnings Call (July 17, 2026)</w:t>
      </w:r>
    </w:p>
    <w:p>
      <w:r>
        <w:rPr>
          <w:rFonts w:ascii="Calibri" w:hAnsi="Calibri"/>
          <w:b/>
          <w:color w:val="525866"/>
          <w:sz w:val="22"/>
        </w:rPr>
        <w:t>Relevance to VLTO:</w:t>
      </w:r>
      <w:r>
        <w:rPr>
          <w:rFonts w:ascii="Calibri" w:hAnsi="Calibri"/>
          <w:color w:val="525866"/>
          <w:sz w:val="22"/>
        </w:rPr>
        <w:t xml:space="preserve"> Kemira is a water treatment chemicals company serving industrial and municipal customers. Its commentary on industrial water demand and municipal water stability is relevant to VLTO's Water Quality segment, though Kemira's exposure is more European and more chemical-intensive than VLTO's analytics/treatment mix.</w:t>
      </w:r>
    </w:p>
    <w:p>
      <w:pPr>
        <w:pStyle w:val="ListBullet"/>
        <w:ind w:left="360" w:hanging="360"/>
      </w:pPr>
      <w:r>
        <w:rPr>
          <w:rFonts w:ascii="Calibri" w:hAnsi="Calibri"/>
          <w:color w:val="525866"/>
          <w:sz w:val="22"/>
        </w:rPr>
        <w:t>Q2 2026 organic growth -2%; market described as "extremely soft and weak" driven by geopolitical uncertainty (Iran war impact on logistics and raw materials).</w:t>
      </w:r>
      <w:r>
        <w:rPr>
          <w:rFonts w:ascii="Calibri" w:hAnsi="Calibri"/>
          <w:b/>
          <w:color w:val="525866"/>
          <w:sz w:val="22"/>
        </w:rPr>
        <w:t xml:space="preserve"> Read-through:</w:t>
      </w:r>
      <w:r>
        <w:rPr>
          <w:rFonts w:ascii="Calibri" w:hAnsi="Calibri"/>
          <w:color w:val="525866"/>
          <w:sz w:val="22"/>
        </w:rPr>
        <w:t xml:space="preserve"> Kemira's weakness is largely idiosyncratic (European industrial chemicals, sulfur supply chain disruption from Iran war) and not directly applicable to VLTO's North America/global water analytics business.</w:t>
      </w:r>
    </w:p>
    <w:p>
      <w:pPr>
        <w:pStyle w:val="ListBullet"/>
        <w:ind w:left="360" w:hanging="360"/>
      </w:pPr>
      <w:r>
        <w:rPr>
          <w:rFonts w:ascii="Calibri" w:hAnsi="Calibri"/>
          <w:color w:val="525866"/>
          <w:sz w:val="22"/>
        </w:rPr>
        <w:t>Water Solutions segment: municipal demand "stable"; industrial customer demand "volatile" due to uncertain economic environment; Water Solutions organic growth +1% (first positive quarter since Q4 2024).</w:t>
      </w:r>
      <w:r>
        <w:rPr>
          <w:rFonts w:ascii="Calibri" w:hAnsi="Calibri"/>
          <w:b/>
          <w:color w:val="525866"/>
          <w:sz w:val="22"/>
        </w:rPr>
        <w:t xml:space="preserve"> Read-through:</w:t>
      </w:r>
      <w:r>
        <w:rPr>
          <w:rFonts w:ascii="Calibri" w:hAnsi="Calibri"/>
          <w:color w:val="525866"/>
          <w:sz w:val="22"/>
        </w:rPr>
        <w:t xml:space="preserve"> Municipal water demand stability is a mild positive for VLTO's Hach/ChemTreat municipal business. Industrial water volatility in Europe is a watch item but less relevant to VLTO's more diversified geographic mix.</w:t>
      </w:r>
    </w:p>
    <w:p>
      <w:pPr>
        <w:pStyle w:val="ListBullet"/>
        <w:ind w:left="360" w:hanging="360"/>
      </w:pPr>
      <w:r>
        <w:rPr>
          <w:rFonts w:ascii="Calibri" w:hAnsi="Calibri"/>
          <w:color w:val="525866"/>
          <w:sz w:val="22"/>
        </w:rPr>
        <w:t>Data centers and mining cited as positive demand pockets within industrial water; "the rest of the economy is quite subdued."</w:t>
      </w:r>
      <w:r>
        <w:rPr>
          <w:rFonts w:ascii="Calibri" w:hAnsi="Calibri"/>
          <w:b/>
          <w:color w:val="525866"/>
          <w:sz w:val="22"/>
        </w:rPr>
        <w:t xml:space="preserve"> Read-through:</w:t>
      </w:r>
      <w:r>
        <w:rPr>
          <w:rFonts w:ascii="Calibri" w:hAnsi="Calibri"/>
          <w:color w:val="525866"/>
          <w:sz w:val="22"/>
        </w:rPr>
        <w:t xml:space="preserve"> Consistent with VLTO's own commentary that data centers and semiconductor/mining are the faster-growing industrial water sub-segments.</w:t>
      </w:r>
    </w:p>
    <w:p>
      <w:pPr>
        <w:pStyle w:val="ListBullet"/>
        <w:ind w:left="360" w:hanging="360"/>
      </w:pPr>
      <w:r>
        <w:rPr>
          <w:rFonts w:ascii="Calibri" w:hAnsi="Calibri"/>
          <w:color w:val="525866"/>
          <w:sz w:val="22"/>
        </w:rPr>
        <w:t>Packaging and paper markets: "economic uncertainty and weak consumer confidence continue to affect demand."</w:t>
      </w:r>
      <w:r>
        <w:rPr>
          <w:rFonts w:ascii="Calibri" w:hAnsi="Calibri"/>
          <w:b/>
          <w:color w:val="525866"/>
          <w:sz w:val="22"/>
        </w:rPr>
        <w:t xml:space="preserve"> Read-through:</w:t>
      </w:r>
      <w:r>
        <w:rPr>
          <w:rFonts w:ascii="Calibri" w:hAnsi="Calibri"/>
          <w:color w:val="525866"/>
          <w:sz w:val="22"/>
        </w:rPr>
        <w:t xml:space="preserve"> A mild cautionary note for VLTO's PQI packaging/color equipment business, though VLTO's exposure is more to CPG (food/beverage) packaging than paper/pulp.</w:t>
      </w:r>
    </w:p>
    <w:p>
      <w:r>
        <w:rPr>
          <w:rFonts w:ascii="Calibri" w:hAnsi="Calibri"/>
          <w:b/>
          <w:color w:val="525866"/>
          <w:sz w:val="22"/>
        </w:rPr>
        <w:t>Overall Peer Read-Through Summary:</w:t>
      </w:r>
      <w:r>
        <w:rPr>
          <w:rFonts w:ascii="Calibri" w:hAnsi="Calibri"/>
          <w:color w:val="525866"/>
          <w:sz w:val="22"/>
        </w:rPr>
        <w:t xml:space="preserve"> The weight of Q2 2026 peer evidence is constructive for VLTO. DHR's core growth acceleration, HON's industrial automation beat and raised guidance, SGS's high-single-digit food/CPG testing growth, and ROP's strong recurring revenue all support VLTO's sequential acceleration narrative. The one area of caution is electronic component cost inflation (flagged by both BMI and HON), which could pressure VLTO's instrument gross margins. Kemira's European industrial weakness is largely idiosyncratic and not a direct read-through for VLTO's more diversified, North America-weighted business.</w:t>
      </w:r>
    </w:p>
    <w:p>
      <w:r>
        <w:rPr>
          <w:rFonts w:ascii="Calibri" w:hAnsi="Calibri"/>
          <w:i/>
          <w:color w:val="525866"/>
          <w:sz w:val="22"/>
        </w:rPr>
        <w:t>Sources: DHR Q2 2026 Earnings Call Transcript (Jul 21, 2026); HON Q2 2026 Earnings Call Transcript (Jul 23, 2026); BMI Q2 2026 Earnings Call Transcript (Jul 22, 2026); SGSN SW H1 2026 Earnings Call Transcript (Jul 24, 2026); ROP Q2 2026 Earnings Call Transcript (Jul 23, 2026); KEMIRA FH Q2 2026 Earnings Call Transcript (Jul 17,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management since Q1 earnings. The only notable transaction is </w:t>
      </w:r>
      <w:r>
        <w:rPr>
          <w:rFonts w:ascii="Calibri" w:hAnsi="Calibri"/>
          <w:b/>
          <w:color w:val="525866"/>
          <w:sz w:val="22"/>
        </w:rPr>
        <w:t>CEO Jennifer Honeycutt's 10b5-1 planned sale of 7,097 shares on July 17</w:t>
      </w:r>
      <w:r>
        <w:rPr>
          <w:rFonts w:ascii="Calibri" w:hAnsi="Calibri"/>
          <w:color w:val="525866"/>
          <w:sz w:val="22"/>
        </w:rPr>
        <w:t xml:space="preserve"> — a pre-scheduled transaction that is obligation-driven and not a discretionary signal. The bulk of July activity is routine director compensation grants (code A), which are non-informative.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Jennifer Honeycutt</w:t>
            </w:r>
          </w:p>
        </w:tc>
        <w:tc>
          <w:tcPr>
            <w:tcW w:type="dxa" w:w="1440"/>
          </w:tcPr>
          <w:p>
            <w:r>
              <w:rPr>
                <w:rFonts w:ascii="Calibri" w:hAnsi="Calibri"/>
                <w:sz w:val="22"/>
              </w:rPr>
              <w:t>President &amp; CEO, Director</w:t>
            </w:r>
          </w:p>
        </w:tc>
        <w:tc>
          <w:tcPr>
            <w:tcW w:type="dxa" w:w="1440"/>
          </w:tcPr>
          <w:p>
            <w:r>
              <w:rPr>
                <w:rFonts w:ascii="Calibri" w:hAnsi="Calibri"/>
                <w:sz w:val="22"/>
              </w:rPr>
              <w:t>10b5-1 Planned Sale (Code S)</w:t>
            </w:r>
          </w:p>
        </w:tc>
        <w:tc>
          <w:tcPr>
            <w:tcW w:type="dxa" w:w="1440"/>
          </w:tcPr>
          <w:p>
            <w:r>
              <w:rPr>
                <w:rFonts w:ascii="Calibri" w:hAnsi="Calibri"/>
                <w:sz w:val="22"/>
              </w:rPr>
              <w:t>7,097 shares</w:t>
            </w:r>
          </w:p>
        </w:tc>
        <w:tc>
          <w:tcPr>
            <w:tcW w:type="dxa" w:w="1440"/>
          </w:tcPr>
          <w:p>
            <w:r>
              <w:rPr>
                <w:rFonts w:ascii="Calibri" w:hAnsi="Calibri"/>
                <w:sz w:val="22"/>
              </w:rPr>
              <w:t>Jul 17, 2026</w:t>
            </w:r>
          </w:p>
        </w:tc>
        <w:tc>
          <w:tcPr>
            <w:tcW w:type="dxa" w:w="1440"/>
          </w:tcPr>
          <w:p>
            <w:r>
              <w:rPr>
                <w:rFonts w:ascii="Calibri" w:hAnsi="Calibri"/>
                <w:sz w:val="22"/>
              </w:rPr>
              <w:t>Pre-scheduled 10b5-1 plan sale; not a discretionary signal. Exercised 7,097 options (Code M) simultaneously. Retains 124,085 shares post-transaction.</w:t>
            </w:r>
          </w:p>
        </w:tc>
      </w:tr>
      <w:tr>
        <w:tc>
          <w:tcPr>
            <w:tcW w:type="dxa" w:w="1440"/>
          </w:tcPr>
          <w:p>
            <w:r>
              <w:rPr>
                <w:rFonts w:ascii="Calibri" w:hAnsi="Calibri"/>
                <w:sz w:val="22"/>
              </w:rPr>
              <w:t>Sameer Ralhan</w:t>
            </w:r>
          </w:p>
        </w:tc>
        <w:tc>
          <w:tcPr>
            <w:tcW w:type="dxa" w:w="1440"/>
          </w:tcPr>
          <w:p>
            <w:r>
              <w:rPr>
                <w:rFonts w:ascii="Calibri" w:hAnsi="Calibri"/>
                <w:sz w:val="22"/>
              </w:rPr>
              <w:t>SVP, Chief Financial Officer</w:t>
            </w:r>
          </w:p>
        </w:tc>
        <w:tc>
          <w:tcPr>
            <w:tcW w:type="dxa" w:w="1440"/>
          </w:tcPr>
          <w:p>
            <w:r>
              <w:rPr>
                <w:rFonts w:ascii="Calibri" w:hAnsi="Calibri"/>
                <w:sz w:val="22"/>
              </w:rPr>
              <w:t>Tax Withholding (Code F)</w:t>
            </w:r>
          </w:p>
        </w:tc>
        <w:tc>
          <w:tcPr>
            <w:tcW w:type="dxa" w:w="1440"/>
          </w:tcPr>
          <w:p>
            <w:r>
              <w:rPr>
                <w:rFonts w:ascii="Calibri" w:hAnsi="Calibri"/>
                <w:sz w:val="22"/>
              </w:rPr>
              <w:t>3,305 shares</w:t>
            </w:r>
          </w:p>
        </w:tc>
        <w:tc>
          <w:tcPr>
            <w:tcW w:type="dxa" w:w="1440"/>
          </w:tcPr>
          <w:p>
            <w:r>
              <w:rPr>
                <w:rFonts w:ascii="Calibri" w:hAnsi="Calibri"/>
                <w:sz w:val="22"/>
              </w:rPr>
              <w:t>Jul 15, 2026</w:t>
            </w:r>
          </w:p>
        </w:tc>
        <w:tc>
          <w:tcPr>
            <w:tcW w:type="dxa" w:w="1440"/>
          </w:tcPr>
          <w:p>
            <w:r>
              <w:rPr>
                <w:rFonts w:ascii="Calibri" w:hAnsi="Calibri"/>
                <w:sz w:val="22"/>
              </w:rPr>
              <w:t>Shares withheld for tax obligation on vesting; not a discretionary sale. Retains 53,694 shares.</w:t>
            </w:r>
          </w:p>
        </w:tc>
      </w:tr>
      <w:tr>
        <w:tc>
          <w:tcPr>
            <w:tcW w:type="dxa" w:w="1440"/>
          </w:tcPr>
          <w:p>
            <w:r>
              <w:rPr>
                <w:rFonts w:ascii="Calibri" w:hAnsi="Calibri"/>
                <w:sz w:val="22"/>
              </w:rPr>
              <w:t>Lesley Beneteau</w:t>
            </w:r>
          </w:p>
        </w:tc>
        <w:tc>
          <w:tcPr>
            <w:tcW w:type="dxa" w:w="1440"/>
          </w:tcPr>
          <w:p>
            <w:r>
              <w:rPr>
                <w:rFonts w:ascii="Calibri" w:hAnsi="Calibri"/>
                <w:sz w:val="22"/>
              </w:rPr>
              <w:t>SVP, CHRO</w:t>
            </w:r>
          </w:p>
        </w:tc>
        <w:tc>
          <w:tcPr>
            <w:tcW w:type="dxa" w:w="1440"/>
          </w:tcPr>
          <w:p>
            <w:r>
              <w:rPr>
                <w:rFonts w:ascii="Calibri" w:hAnsi="Calibri"/>
                <w:sz w:val="22"/>
              </w:rPr>
              <w:t>Tax Withholding (Code F)</w:t>
            </w:r>
          </w:p>
        </w:tc>
        <w:tc>
          <w:tcPr>
            <w:tcW w:type="dxa" w:w="1440"/>
          </w:tcPr>
          <w:p>
            <w:r>
              <w:rPr>
                <w:rFonts w:ascii="Calibri" w:hAnsi="Calibri"/>
                <w:sz w:val="22"/>
              </w:rPr>
              <w:t>423 shares</w:t>
            </w:r>
          </w:p>
        </w:tc>
        <w:tc>
          <w:tcPr>
            <w:tcW w:type="dxa" w:w="1440"/>
          </w:tcPr>
          <w:p>
            <w:r>
              <w:rPr>
                <w:rFonts w:ascii="Calibri" w:hAnsi="Calibri"/>
                <w:sz w:val="22"/>
              </w:rPr>
              <w:t>May 15, 2026</w:t>
            </w:r>
          </w:p>
        </w:tc>
        <w:tc>
          <w:tcPr>
            <w:tcW w:type="dxa" w:w="1440"/>
          </w:tcPr>
          <w:p>
            <w:r>
              <w:rPr>
                <w:rFonts w:ascii="Calibri" w:hAnsi="Calibri"/>
                <w:sz w:val="22"/>
              </w:rPr>
              <w:t>Shares withheld for tax obligation on vesting; not a discretionary sale. Retains 19,846 shares.</w:t>
            </w:r>
          </w:p>
        </w:tc>
      </w:tr>
      <w:tr>
        <w:tc>
          <w:tcPr>
            <w:tcW w:type="dxa" w:w="1440"/>
          </w:tcPr>
          <w:p>
            <w:r>
              <w:rPr>
                <w:rFonts w:ascii="Calibri" w:hAnsi="Calibri"/>
                <w:sz w:val="22"/>
              </w:rPr>
              <w:t>Bernard M. Skeete</w:t>
            </w:r>
          </w:p>
        </w:tc>
        <w:tc>
          <w:tcPr>
            <w:tcW w:type="dxa" w:w="1440"/>
          </w:tcPr>
          <w:p>
            <w:r>
              <w:rPr>
                <w:rFonts w:ascii="Calibri" w:hAnsi="Calibri"/>
                <w:sz w:val="22"/>
              </w:rPr>
              <w:t>Chief Accounting Officer</w:t>
            </w:r>
          </w:p>
        </w:tc>
        <w:tc>
          <w:tcPr>
            <w:tcW w:type="dxa" w:w="1440"/>
          </w:tcPr>
          <w:p>
            <w:r>
              <w:rPr>
                <w:rFonts w:ascii="Calibri" w:hAnsi="Calibri"/>
                <w:sz w:val="22"/>
              </w:rPr>
              <w:t>Open Market Sale (Code S)</w:t>
            </w:r>
          </w:p>
        </w:tc>
        <w:tc>
          <w:tcPr>
            <w:tcW w:type="dxa" w:w="1440"/>
          </w:tcPr>
          <w:p>
            <w:r>
              <w:rPr>
                <w:rFonts w:ascii="Calibri" w:hAnsi="Calibri"/>
                <w:sz w:val="22"/>
              </w:rPr>
              <w:t>300 shares</w:t>
            </w:r>
          </w:p>
        </w:tc>
        <w:tc>
          <w:tcPr>
            <w:tcW w:type="dxa" w:w="1440"/>
          </w:tcPr>
          <w:p>
            <w:r>
              <w:rPr>
                <w:rFonts w:ascii="Calibri" w:hAnsi="Calibri"/>
                <w:sz w:val="22"/>
              </w:rPr>
              <w:t>May 1, 2026</w:t>
            </w:r>
          </w:p>
        </w:tc>
        <w:tc>
          <w:tcPr>
            <w:tcW w:type="dxa" w:w="1440"/>
          </w:tcPr>
          <w:p>
            <w:r>
              <w:rPr>
                <w:rFonts w:ascii="Calibri" w:hAnsi="Calibri"/>
                <w:sz w:val="22"/>
              </w:rPr>
              <w:t>Small open-market sale; de minimis size (300 shares). Retains 4,760 shares. No 10b5-1 flag in data.</w:t>
            </w:r>
          </w:p>
        </w:tc>
      </w:tr>
      <w:tr>
        <w:tc>
          <w:tcPr>
            <w:tcW w:type="dxa" w:w="1440"/>
          </w:tcPr>
          <w:p>
            <w:r>
              <w:rPr>
                <w:rFonts w:ascii="Calibri" w:hAnsi="Calibri"/>
                <w:sz w:val="22"/>
              </w:rPr>
              <w:t>Multiple Directors (9 directors)</w:t>
            </w:r>
          </w:p>
        </w:tc>
        <w:tc>
          <w:tcPr>
            <w:tcW w:type="dxa" w:w="1440"/>
          </w:tcPr>
          <w:p>
            <w:r>
              <w:rPr>
                <w:rFonts w:ascii="Calibri" w:hAnsi="Calibri"/>
                <w:sz w:val="22"/>
              </w:rPr>
              <w:t>Board of Directors</w:t>
            </w:r>
          </w:p>
        </w:tc>
        <w:tc>
          <w:tcPr>
            <w:tcW w:type="dxa" w:w="1440"/>
          </w:tcPr>
          <w:p>
            <w:r>
              <w:rPr>
                <w:rFonts w:ascii="Calibri" w:hAnsi="Calibri"/>
                <w:sz w:val="22"/>
              </w:rPr>
              <w:t>Director Compensation Grant (Code A)</w:t>
            </w:r>
          </w:p>
        </w:tc>
        <w:tc>
          <w:tcPr>
            <w:tcW w:type="dxa" w:w="1440"/>
          </w:tcPr>
          <w:p>
            <w:r>
              <w:rPr>
                <w:rFonts w:ascii="Calibri" w:hAnsi="Calibri"/>
                <w:sz w:val="22"/>
              </w:rPr>
              <w:t>~1,009–1,834 shares + options each</w:t>
            </w:r>
          </w:p>
        </w:tc>
        <w:tc>
          <w:tcPr>
            <w:tcW w:type="dxa" w:w="1440"/>
          </w:tcPr>
          <w:p>
            <w:r>
              <w:rPr>
                <w:rFonts w:ascii="Calibri" w:hAnsi="Calibri"/>
                <w:sz w:val="22"/>
              </w:rPr>
              <w:t>Jul 15, 2026</w:t>
            </w:r>
          </w:p>
        </w:tc>
        <w:tc>
          <w:tcPr>
            <w:tcW w:type="dxa" w:w="1440"/>
          </w:tcPr>
          <w:p>
            <w:r>
              <w:rPr>
                <w:rFonts w:ascii="Calibri" w:hAnsi="Calibri"/>
                <w:sz w:val="22"/>
              </w:rPr>
              <w:t>Routine annual director compensation grants (stock + options). Non-informative; standard board compensation cycle.</w:t>
            </w:r>
          </w:p>
        </w:tc>
      </w:tr>
    </w:tbl>
    <w:p>
      <w:r>
        <w:rPr>
          <w:rFonts w:ascii="Calibri" w:hAnsi="Calibri"/>
          <w:color w:val="525866"/>
          <w:sz w:val="22"/>
        </w:rPr>
        <w:t xml:space="preserve">The insider picture is clean and non-informative heading into Q2 earnings. The CEO's 10b5-1 sale is pre-scheduled and obligation-driven, not a discretionary signal. The CFO's tax withholding is a routine vesting event. The Chief Accounting Officer's 300-share open-market sale is de minimis. There are no open-market buys from any insider since Q1 earnings, but the absence of buys is not unusual given the stock's ~10% rally since the Q1 print. The broad director compensation grants in July are routine annual awards and carry no informational content. Overall, </w:t>
      </w:r>
      <w:r>
        <w:rPr>
          <w:rFonts w:ascii="Calibri" w:hAnsi="Calibri"/>
          <w:b/>
          <w:color w:val="525866"/>
          <w:sz w:val="22"/>
        </w:rPr>
        <w:t>no insider activity stands out as a meaningful signal in either direction.</w:t>
      </w:r>
    </w:p>
    <w:p>
      <w:r>
        <w:rPr>
          <w:rFonts w:ascii="Calibri" w:hAnsi="Calibri"/>
          <w:i/>
          <w:color w:val="525866"/>
          <w:sz w:val="22"/>
        </w:rPr>
        <w:t>Source: Insider Transaction Data (SEC Form 4 filings). Transactions from April 29, 2026 through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