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Veralto Corporation (VLTO)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Veralto Corporation</w:t>
            </w:r>
          </w:p>
        </w:tc>
      </w:tr>
      <w:tr>
        <w:tc>
          <w:tcPr>
            <w:tcW w:type="dxa" w:w="4320"/>
          </w:tcPr>
          <w:p>
            <w:r>
              <w:rPr>
                <w:rFonts w:ascii="Calibri" w:hAnsi="Calibri"/>
                <w:b/>
                <w:sz w:val="22"/>
              </w:rPr>
              <w:t>Ticker</w:t>
            </w:r>
          </w:p>
        </w:tc>
        <w:tc>
          <w:tcPr>
            <w:tcW w:type="dxa" w:w="4320"/>
          </w:tcPr>
          <w:p>
            <w:r>
              <w:rPr>
                <w:rFonts w:ascii="Calibri" w:hAnsi="Calibri"/>
                <w:sz w:val="22"/>
              </w:rPr>
              <w:t>VLTO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27, 2026)</w:t>
            </w:r>
          </w:p>
        </w:tc>
      </w:tr>
      <w:tr>
        <w:tc>
          <w:tcPr>
            <w:tcW w:type="dxa" w:w="4320"/>
          </w:tcPr>
          <w:p>
            <w:r>
              <w:rPr>
                <w:rFonts w:ascii="Calibri" w:hAnsi="Calibri"/>
                <w:b/>
                <w:sz w:val="22"/>
              </w:rPr>
              <w:t>Earnings Date</w:t>
            </w:r>
          </w:p>
        </w:tc>
        <w:tc>
          <w:tcPr>
            <w:tcW w:type="dxa" w:w="4320"/>
          </w:tcPr>
          <w:p>
            <w:r>
              <w:rPr>
                <w:rFonts w:ascii="Calibri" w:hAnsi="Calibri"/>
                <w:sz w:val="22"/>
              </w:rPr>
              <w:t>July 29, 2026 (pre-market, 7:30 AM ET)</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Sector / ETF Benchmark</w:t>
            </w:r>
          </w:p>
        </w:tc>
        <w:tc>
          <w:tcPr>
            <w:tcW w:type="dxa" w:w="4320"/>
          </w:tcPr>
          <w:p>
            <w:r>
              <w:rPr>
                <w:rFonts w:ascii="Calibri" w:hAnsi="Calibri"/>
                <w:sz w:val="22"/>
              </w:rPr>
              <w:t>Industrials / XLI</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modestly constructive — consensus sits near the low end of VLTO’s own Q2 guidance range, leaving room for an in-line-to-slight beat, but the single biggest swing factor is whether </w:t>
      </w:r>
      <w:r>
        <w:rPr>
          <w:rFonts w:ascii="Calibri" w:hAnsi="Calibri"/>
          <w:b/>
          <w:color w:val="525866"/>
          <w:sz w:val="22"/>
        </w:rPr>
        <w:t>PQI core growth turns positive</w:t>
      </w:r>
      <w:r>
        <w:rPr>
          <w:rFonts w:ascii="Calibri" w:hAnsi="Calibri"/>
          <w:color w:val="525866"/>
          <w:sz w:val="22"/>
        </w:rPr>
        <w:t xml:space="preserve"> after a −1.0% print in Q1.</w:t>
      </w:r>
    </w:p>
    <w:p>
      <w:r>
        <w:rPr>
          <w:rFonts w:ascii="Calibri" w:hAnsi="Calibri"/>
          <w:color w:val="525866"/>
          <w:sz w:val="22"/>
        </w:rPr>
        <w:t xml:space="preserve">Heading into Q2 2026 earnings, the bar for Veralto looks achievable but not easy. Consensus adjusted EPS of ~$1.01 sits just above the midpoint of management’s guided range of $0.96–$1.00, implying the Street has already baked in a modest beat relative to the guidance floor but is not pricing in a blowout. The most important KPI to watch is </w:t>
      </w:r>
      <w:r>
        <w:rPr>
          <w:rFonts w:ascii="Calibri" w:hAnsi="Calibri"/>
          <w:b/>
          <w:color w:val="525866"/>
          <w:sz w:val="22"/>
        </w:rPr>
        <w:t>core sales growth</w:t>
      </w:r>
      <w:r>
        <w:rPr>
          <w:rFonts w:ascii="Calibri" w:hAnsi="Calibri"/>
          <w:color w:val="525866"/>
          <w:sz w:val="22"/>
        </w:rPr>
        <w:t xml:space="preserve">: management guided 3.0%–4.0% for Q2, and consensus sits at ~3.5%, with Water Quality expected to lead (~4.2%) while PQI is expected to recover from its Q1 decline to roughly +2.5%. Management’s tone on the Q1 call was notably confident — CEO Jennifer Honeycutt raised full-year EPS guidance to $4.20–$4.28 (from $4.10–$4.20) and stated “core sales growth will accelerate as the year progresses,” signaling conviction in sequential improvement. Estimate revisions have been broadly stable-to-slightly-lower since the Q1 print, with Q2 EPS drifting from ~$0.97 in April to ~$1.01 today, suggesting the Street has gradually aligned with guidance rather than running ahead of it. The stock has recovered ~+10% from its post-Q1 earnings close of ~$85.60 to ~$94.28 today, outperforming XLI (+7.2%) but still trading at a meaningful discount to its 12-month-ago NTM EV/EBITDA of ~18.8x vs. ~15.3x today, meaning the multiple has not fully re-rated even as execution has improved. The key wildcard is </w:t>
      </w:r>
      <w:r>
        <w:rPr>
          <w:rFonts w:ascii="Calibri" w:hAnsi="Calibri"/>
          <w:b/>
          <w:color w:val="525866"/>
          <w:sz w:val="22"/>
        </w:rPr>
        <w:t>Danaher’s Q2 print on July 21</w:t>
      </w:r>
      <w:r>
        <w:rPr>
          <w:rFonts w:ascii="Calibri" w:hAnsi="Calibri"/>
          <w:color w:val="525866"/>
          <w:sz w:val="22"/>
        </w:rPr>
        <w:t xml:space="preserve"> — DHR’s Q2 beat on revenue and EPS but disappointing Q3 core revenue guidance (2%–3%) sent its stock down ~11% and raised questions about the pace of industrial/water-adjacent end-market recovery, a potential read-through headwind for VLTO’s PQI segment and broader industrial demand commentary.</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modest/achievable bar — Q2 EPS of ~$1.01 sits just above the guidance midpoint of $0.98, and core sales growth of ~3.5% is within the guided 3.0%–4.0% range. The bigger swing factor is </w:t>
      </w:r>
      <w:r>
        <w:rPr>
          <w:rFonts w:ascii="Calibri" w:hAnsi="Calibri"/>
          <w:b/>
          <w:color w:val="525866"/>
          <w:sz w:val="22"/>
        </w:rPr>
        <w:t>PQI core growth</w:t>
      </w:r>
      <w:r>
        <w:rPr>
          <w:rFonts w:ascii="Calibri" w:hAnsi="Calibri"/>
          <w:color w:val="525866"/>
          <w:sz w:val="22"/>
        </w:rPr>
        <w:t xml:space="preserve"> recovering from −1.0% in Q1; a positive print there would be the most meaningful upside signal.</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($M)</w:t>
            </w:r>
          </w:p>
        </w:tc>
        <w:tc>
          <w:tcPr>
            <w:tcW w:type="dxa" w:w="1234"/>
          </w:tcPr>
          <w:p>
            <w:r>
              <w:rPr>
                <w:rFonts w:ascii="Calibri" w:hAnsi="Calibri"/>
                <w:sz w:val="22"/>
              </w:rPr>
              <w:t>$1,422M</w:t>
            </w:r>
          </w:p>
        </w:tc>
        <w:tc>
          <w:tcPr>
            <w:tcW w:type="dxa" w:w="1234"/>
          </w:tcPr>
          <w:p>
            <w:r>
              <w:rPr>
                <w:rFonts w:ascii="Calibri" w:hAnsi="Calibri"/>
                <w:sz w:val="22"/>
              </w:rPr>
              <w:t>$1,371M</w:t>
            </w:r>
          </w:p>
        </w:tc>
        <w:tc>
          <w:tcPr>
            <w:tcW w:type="dxa" w:w="1234"/>
          </w:tcPr>
          <w:p>
            <w:r>
              <w:rPr>
                <w:rFonts w:ascii="Calibri" w:hAnsi="Calibri"/>
                <w:sz w:val="22"/>
              </w:rPr>
              <w:t>$1,455M</w:t>
            </w:r>
          </w:p>
        </w:tc>
        <w:tc>
          <w:tcPr>
            <w:tcW w:type="dxa" w:w="1234"/>
          </w:tcPr>
          <w:p>
            <w:r>
              <w:rPr>
                <w:rFonts w:ascii="Calibri" w:hAnsi="Calibri"/>
                <w:sz w:val="22"/>
              </w:rPr>
              <w:t>+6.1% YoY</w:t>
            </w:r>
          </w:p>
        </w:tc>
        <w:tc>
          <w:tcPr>
            <w:tcW w:type="dxa" w:w="1234"/>
          </w:tcPr>
          <w:p>
            <w:r>
              <w:rPr>
                <w:rFonts w:ascii="Calibri" w:hAnsi="Calibri"/>
                <w:sz w:val="22"/>
              </w:rPr>
              <w:t>N/A (no explicit revenue guidance)</w:t>
            </w:r>
          </w:p>
        </w:tc>
        <w:tc>
          <w:tcPr>
            <w:tcW w:type="dxa" w:w="1234"/>
          </w:tcPr>
          <w:p>
            <w:r>
              <w:rPr>
                <w:rFonts w:ascii="Calibri" w:hAnsi="Calibri"/>
                <w:sz w:val="22"/>
              </w:rPr>
              <w:t>N/A</w:t>
            </w:r>
          </w:p>
        </w:tc>
      </w:tr>
      <w:tr>
        <w:tc>
          <w:tcPr>
            <w:tcW w:type="dxa" w:w="1234"/>
          </w:tcPr>
          <w:p>
            <w:r>
              <w:rPr>
                <w:rFonts w:ascii="Calibri" w:hAnsi="Calibri"/>
                <w:sz w:val="22"/>
              </w:rPr>
              <w:t>Adj. EPS (Diluted, Operating)</w:t>
            </w:r>
          </w:p>
        </w:tc>
        <w:tc>
          <w:tcPr>
            <w:tcW w:type="dxa" w:w="1234"/>
          </w:tcPr>
          <w:p>
            <w:r>
              <w:rPr>
                <w:rFonts w:ascii="Calibri" w:hAnsi="Calibri"/>
                <w:sz w:val="22"/>
              </w:rPr>
              <w:t>$1.07</w:t>
            </w:r>
          </w:p>
        </w:tc>
        <w:tc>
          <w:tcPr>
            <w:tcW w:type="dxa" w:w="1234"/>
          </w:tcPr>
          <w:p>
            <w:r>
              <w:rPr>
                <w:rFonts w:ascii="Calibri" w:hAnsi="Calibri"/>
                <w:sz w:val="22"/>
              </w:rPr>
              <w:t>$0.93</w:t>
            </w:r>
          </w:p>
        </w:tc>
        <w:tc>
          <w:tcPr>
            <w:tcW w:type="dxa" w:w="1234"/>
          </w:tcPr>
          <w:p>
            <w:r>
              <w:rPr>
                <w:rFonts w:ascii="Calibri" w:hAnsi="Calibri"/>
                <w:sz w:val="22"/>
              </w:rPr>
              <w:t>$1.01</w:t>
            </w:r>
          </w:p>
        </w:tc>
        <w:tc>
          <w:tcPr>
            <w:tcW w:type="dxa" w:w="1234"/>
          </w:tcPr>
          <w:p>
            <w:r>
              <w:rPr>
                <w:rFonts w:ascii="Calibri" w:hAnsi="Calibri"/>
                <w:sz w:val="22"/>
              </w:rPr>
              <w:t>+8.6% YoY</w:t>
            </w:r>
          </w:p>
        </w:tc>
        <w:tc>
          <w:tcPr>
            <w:tcW w:type="dxa" w:w="1234"/>
          </w:tcPr>
          <w:p>
            <w:r>
              <w:rPr>
                <w:rFonts w:ascii="Calibri" w:hAnsi="Calibri"/>
                <w:sz w:val="22"/>
              </w:rPr>
              <w:t>$0.96–$1.00</w:t>
            </w:r>
          </w:p>
        </w:tc>
        <w:tc>
          <w:tcPr>
            <w:tcW w:type="dxa" w:w="1234"/>
          </w:tcPr>
          <w:p>
            <w:r>
              <w:rPr>
                <w:rFonts w:ascii="Calibri" w:hAnsi="Calibri"/>
                <w:sz w:val="22"/>
              </w:rPr>
              <w:t>+3.1% above midpoint ($0.98)</w:t>
            </w:r>
          </w:p>
        </w:tc>
      </w:tr>
      <w:tr>
        <w:tc>
          <w:tcPr>
            <w:tcW w:type="dxa" w:w="1234"/>
          </w:tcPr>
          <w:p>
            <w:r>
              <w:rPr>
                <w:rFonts w:ascii="Calibri" w:hAnsi="Calibri"/>
                <w:sz w:val="22"/>
              </w:rPr>
              <w:t>Core Sales Growth (Total)</w:t>
            </w:r>
          </w:p>
        </w:tc>
        <w:tc>
          <w:tcPr>
            <w:tcW w:type="dxa" w:w="1234"/>
          </w:tcPr>
          <w:p>
            <w:r>
              <w:rPr>
                <w:rFonts w:ascii="Calibri" w:hAnsi="Calibri"/>
                <w:sz w:val="22"/>
              </w:rPr>
              <w:t>+1.9%</w:t>
            </w:r>
          </w:p>
        </w:tc>
        <w:tc>
          <w:tcPr>
            <w:tcW w:type="dxa" w:w="1234"/>
          </w:tcPr>
          <w:p>
            <w:r>
              <w:rPr>
                <w:rFonts w:ascii="Calibri" w:hAnsi="Calibri"/>
                <w:sz w:val="22"/>
              </w:rPr>
              <w:t>+4.8%</w:t>
            </w:r>
          </w:p>
        </w:tc>
        <w:tc>
          <w:tcPr>
            <w:tcW w:type="dxa" w:w="1234"/>
          </w:tcPr>
          <w:p>
            <w:r>
              <w:rPr>
                <w:rFonts w:ascii="Calibri" w:hAnsi="Calibri"/>
                <w:sz w:val="22"/>
              </w:rPr>
              <w:t>~+3.5%</w:t>
            </w:r>
          </w:p>
        </w:tc>
        <w:tc>
          <w:tcPr>
            <w:tcW w:type="dxa" w:w="1234"/>
          </w:tcPr>
          <w:p>
            <w:r>
              <w:rPr>
                <w:rFonts w:ascii="Calibri" w:hAnsi="Calibri"/>
                <w:sz w:val="22"/>
              </w:rPr>
              <w:t>~−1.3 pp vs. prior year</w:t>
            </w:r>
          </w:p>
        </w:tc>
        <w:tc>
          <w:tcPr>
            <w:tcW w:type="dxa" w:w="1234"/>
          </w:tcPr>
          <w:p>
            <w:r>
              <w:rPr>
                <w:rFonts w:ascii="Calibri" w:hAnsi="Calibri"/>
                <w:sz w:val="22"/>
              </w:rPr>
              <w:t>3.0%–4.0%</w:t>
            </w:r>
          </w:p>
        </w:tc>
        <w:tc>
          <w:tcPr>
            <w:tcW w:type="dxa" w:w="1234"/>
          </w:tcPr>
          <w:p>
            <w:r>
              <w:rPr>
                <w:rFonts w:ascii="Calibri" w:hAnsi="Calibri"/>
                <w:sz w:val="22"/>
              </w:rPr>
              <w:t>~+0.0% (at midpoint)</w:t>
            </w:r>
          </w:p>
        </w:tc>
      </w:tr>
      <w:tr>
        <w:tc>
          <w:tcPr>
            <w:tcW w:type="dxa" w:w="1234"/>
          </w:tcPr>
          <w:p>
            <w:r>
              <w:rPr>
                <w:rFonts w:ascii="Calibri" w:hAnsi="Calibri"/>
                <w:sz w:val="22"/>
              </w:rPr>
              <w:t>Core Sales Growth — Water Quality</w:t>
            </w:r>
          </w:p>
        </w:tc>
        <w:tc>
          <w:tcPr>
            <w:tcW w:type="dxa" w:w="1234"/>
          </w:tcPr>
          <w:p>
            <w:r>
              <w:rPr>
                <w:rFonts w:ascii="Calibri" w:hAnsi="Calibri"/>
                <w:sz w:val="22"/>
              </w:rPr>
              <w:t>+3.8%</w:t>
            </w:r>
          </w:p>
        </w:tc>
        <w:tc>
          <w:tcPr>
            <w:tcW w:type="dxa" w:w="1234"/>
          </w:tcPr>
          <w:p>
            <w:r>
              <w:rPr>
                <w:rFonts w:ascii="Calibri" w:hAnsi="Calibri"/>
                <w:sz w:val="22"/>
              </w:rPr>
              <w:t>+5.0%</w:t>
            </w:r>
          </w:p>
        </w:tc>
        <w:tc>
          <w:tcPr>
            <w:tcW w:type="dxa" w:w="1234"/>
          </w:tcPr>
          <w:p>
            <w:r>
              <w:rPr>
                <w:rFonts w:ascii="Calibri" w:hAnsi="Calibri"/>
                <w:sz w:val="22"/>
              </w:rPr>
              <w:t>~+4.2%</w:t>
            </w:r>
          </w:p>
        </w:tc>
        <w:tc>
          <w:tcPr>
            <w:tcW w:type="dxa" w:w="1234"/>
          </w:tcPr>
          <w:p>
            <w:r>
              <w:rPr>
                <w:rFonts w:ascii="Calibri" w:hAnsi="Calibri"/>
                <w:sz w:val="22"/>
              </w:rPr>
              <w:t>~−0.8 pp vs. prior year</w:t>
            </w:r>
          </w:p>
        </w:tc>
        <w:tc>
          <w:tcPr>
            <w:tcW w:type="dxa" w:w="1234"/>
          </w:tcPr>
          <w:p>
            <w:r>
              <w:rPr>
                <w:rFonts w:ascii="Calibri" w:hAnsi="Calibri"/>
                <w:sz w:val="22"/>
              </w:rPr>
              <w:t>N/A (segment not guided separately)</w:t>
            </w:r>
          </w:p>
        </w:tc>
        <w:tc>
          <w:tcPr>
            <w:tcW w:type="dxa" w:w="1234"/>
          </w:tcPr>
          <w:p>
            <w:r>
              <w:rPr>
                <w:rFonts w:ascii="Calibri" w:hAnsi="Calibri"/>
                <w:sz w:val="22"/>
              </w:rPr>
              <w:t>N/A</w:t>
            </w:r>
          </w:p>
        </w:tc>
      </w:tr>
      <w:tr>
        <w:tc>
          <w:tcPr>
            <w:tcW w:type="dxa" w:w="1234"/>
          </w:tcPr>
          <w:p>
            <w:r>
              <w:rPr>
                <w:rFonts w:ascii="Calibri" w:hAnsi="Calibri"/>
                <w:sz w:val="22"/>
              </w:rPr>
              <w:t>Core Sales Growth — PQI</w:t>
            </w:r>
          </w:p>
        </w:tc>
        <w:tc>
          <w:tcPr>
            <w:tcW w:type="dxa" w:w="1234"/>
          </w:tcPr>
          <w:p>
            <w:r>
              <w:rPr>
                <w:rFonts w:ascii="Calibri" w:hAnsi="Calibri"/>
                <w:sz w:val="22"/>
              </w:rPr>
              <w:t>−1.0%</w:t>
            </w:r>
          </w:p>
        </w:tc>
        <w:tc>
          <w:tcPr>
            <w:tcW w:type="dxa" w:w="1234"/>
          </w:tcPr>
          <w:p>
            <w:r>
              <w:rPr>
                <w:rFonts w:ascii="Calibri" w:hAnsi="Calibri"/>
                <w:sz w:val="22"/>
              </w:rPr>
              <w:t>+4.6%</w:t>
            </w:r>
          </w:p>
        </w:tc>
        <w:tc>
          <w:tcPr>
            <w:tcW w:type="dxa" w:w="1234"/>
          </w:tcPr>
          <w:p>
            <w:r>
              <w:rPr>
                <w:rFonts w:ascii="Calibri" w:hAnsi="Calibri"/>
                <w:sz w:val="22"/>
              </w:rPr>
              <w:t>~+2.5%</w:t>
            </w:r>
          </w:p>
        </w:tc>
        <w:tc>
          <w:tcPr>
            <w:tcW w:type="dxa" w:w="1234"/>
          </w:tcPr>
          <w:p>
            <w:r>
              <w:rPr>
                <w:rFonts w:ascii="Calibri" w:hAnsi="Calibri"/>
                <w:sz w:val="22"/>
              </w:rPr>
              <w:t>~−2.1 pp vs. prior year</w:t>
            </w:r>
          </w:p>
        </w:tc>
        <w:tc>
          <w:tcPr>
            <w:tcW w:type="dxa" w:w="1234"/>
          </w:tcPr>
          <w:p>
            <w:r>
              <w:rPr>
                <w:rFonts w:ascii="Calibri" w:hAnsi="Calibri"/>
                <w:sz w:val="22"/>
              </w:rPr>
              <w:t>N/A (segment not guided separately)</w:t>
            </w:r>
          </w:p>
        </w:tc>
        <w:tc>
          <w:tcPr>
            <w:tcW w:type="dxa" w:w="1234"/>
          </w:tcPr>
          <w:p>
            <w:r>
              <w:rPr>
                <w:rFonts w:ascii="Calibri" w:hAnsi="Calibri"/>
                <w:sz w:val="22"/>
              </w:rPr>
              <w:t>N/A</w:t>
            </w:r>
          </w:p>
        </w:tc>
      </w:tr>
      <w:tr>
        <w:tc>
          <w:tcPr>
            <w:tcW w:type="dxa" w:w="1234"/>
          </w:tcPr>
          <w:p>
            <w:r>
              <w:rPr>
                <w:rFonts w:ascii="Calibri" w:hAnsi="Calibri"/>
                <w:sz w:val="22"/>
              </w:rPr>
              <w:t>Adj. Operating Income ($M)</w:t>
            </w:r>
          </w:p>
        </w:tc>
        <w:tc>
          <w:tcPr>
            <w:tcW w:type="dxa" w:w="1234"/>
          </w:tcPr>
          <w:p>
            <w:r>
              <w:rPr>
                <w:rFonts w:ascii="Calibri" w:hAnsi="Calibri"/>
                <w:sz w:val="22"/>
              </w:rPr>
              <w:t>$357M</w:t>
            </w:r>
          </w:p>
        </w:tc>
        <w:tc>
          <w:tcPr>
            <w:tcW w:type="dxa" w:w="1234"/>
          </w:tcPr>
          <w:p>
            <w:r>
              <w:rPr>
                <w:rFonts w:ascii="Calibri" w:hAnsi="Calibri"/>
                <w:sz w:val="22"/>
              </w:rPr>
              <w:t>$325M</w:t>
            </w:r>
          </w:p>
        </w:tc>
        <w:tc>
          <w:tcPr>
            <w:tcW w:type="dxa" w:w="1234"/>
          </w:tcPr>
          <w:p>
            <w:r>
              <w:rPr>
                <w:rFonts w:ascii="Calibri" w:hAnsi="Calibri"/>
                <w:sz w:val="22"/>
              </w:rPr>
              <w:t>$342M</w:t>
            </w:r>
          </w:p>
        </w:tc>
        <w:tc>
          <w:tcPr>
            <w:tcW w:type="dxa" w:w="1234"/>
          </w:tcPr>
          <w:p>
            <w:r>
              <w:rPr>
                <w:rFonts w:ascii="Calibri" w:hAnsi="Calibri"/>
                <w:sz w:val="22"/>
              </w:rPr>
              <w:t>+5.2% YoY</w:t>
            </w:r>
          </w:p>
        </w:tc>
        <w:tc>
          <w:tcPr>
            <w:tcW w:type="dxa" w:w="1234"/>
          </w:tcPr>
          <w:p>
            <w:r>
              <w:rPr>
                <w:rFonts w:ascii="Calibri" w:hAnsi="Calibri"/>
                <w:sz w:val="22"/>
              </w:rPr>
              <w:t>Adj. OPM ~23.5% (flat YoY)</w:t>
            </w:r>
          </w:p>
        </w:tc>
        <w:tc>
          <w:tcPr>
            <w:tcW w:type="dxa" w:w="1234"/>
          </w:tcPr>
          <w:p>
            <w:r>
              <w:rPr>
                <w:rFonts w:ascii="Calibri" w:hAnsi="Calibri"/>
                <w:sz w:val="22"/>
              </w:rPr>
              <w:t>~−1.5% below implied guidance</w:t>
            </w:r>
          </w:p>
        </w:tc>
      </w:tr>
      <w:tr>
        <w:tc>
          <w:tcPr>
            <w:tcW w:type="dxa" w:w="1234"/>
          </w:tcPr>
          <w:p>
            <w:r>
              <w:rPr>
                <w:rFonts w:ascii="Calibri" w:hAnsi="Calibri"/>
                <w:sz w:val="22"/>
              </w:rPr>
              <w:t>Free Cash Flow — Operating ($M)</w:t>
            </w:r>
          </w:p>
        </w:tc>
        <w:tc>
          <w:tcPr>
            <w:tcW w:type="dxa" w:w="1234"/>
          </w:tcPr>
          <w:p>
            <w:r>
              <w:rPr>
                <w:rFonts w:ascii="Calibri" w:hAnsi="Calibri"/>
                <w:sz w:val="22"/>
              </w:rPr>
              <w:t>$170M</w:t>
            </w:r>
          </w:p>
        </w:tc>
        <w:tc>
          <w:tcPr>
            <w:tcW w:type="dxa" w:w="1234"/>
          </w:tcPr>
          <w:p>
            <w:r>
              <w:rPr>
                <w:rFonts w:ascii="Calibri" w:hAnsi="Calibri"/>
                <w:sz w:val="22"/>
              </w:rPr>
              <w:t>$323M</w:t>
            </w:r>
          </w:p>
        </w:tc>
        <w:tc>
          <w:tcPr>
            <w:tcW w:type="dxa" w:w="1234"/>
          </w:tcPr>
          <w:p>
            <w:r>
              <w:rPr>
                <w:rFonts w:ascii="Calibri" w:hAnsi="Calibri"/>
                <w:sz w:val="22"/>
              </w:rPr>
              <w:t>$134M</w:t>
            </w:r>
          </w:p>
        </w:tc>
        <w:tc>
          <w:tcPr>
            <w:tcW w:type="dxa" w:w="1234"/>
          </w:tcPr>
          <w:p>
            <w:r>
              <w:rPr>
                <w:rFonts w:ascii="Calibri" w:hAnsi="Calibri"/>
                <w:sz w:val="22"/>
              </w:rPr>
              <w:t>N/M (Q2 typically lower FCF)</w:t>
            </w:r>
          </w:p>
        </w:tc>
        <w:tc>
          <w:tcPr>
            <w:tcW w:type="dxa" w:w="1234"/>
          </w:tcPr>
          <w:p>
            <w:r>
              <w:rPr>
                <w:rFonts w:ascii="Calibri" w:hAnsi="Calibri"/>
                <w:sz w:val="22"/>
              </w:rPr>
              <w:t>~100% FY conversion</w:t>
            </w:r>
          </w:p>
        </w:tc>
        <w:tc>
          <w:tcPr>
            <w:tcW w:type="dxa" w:w="1234"/>
          </w:tcPr>
          <w:p>
            <w:r>
              <w:rPr>
                <w:rFonts w:ascii="Calibri" w:hAnsi="Calibri"/>
                <w:sz w:val="22"/>
              </w:rPr>
              <w:t>N/A (FY metric)</w:t>
            </w:r>
          </w:p>
        </w:tc>
      </w:tr>
    </w:tbl>
    <w:p>
      <w:r>
        <w:rPr>
          <w:rFonts w:ascii="Calibri" w:hAnsi="Calibri"/>
          <w:i/>
          <w:color w:val="525866"/>
          <w:sz w:val="22"/>
        </w:rPr>
        <w:t>Source: Visible Alpha Consensus and Actuals Data. All consensus figures as of July 28, 2026. Q2 2026 guidance per Q1 2026 earnings call (April 29, 2026). YoY comparisons use Q2 2025 actuals from Visible Alpha.</w:t>
      </w:r>
    </w:p>
    <w:p>
      <w:pPr>
        <w:pStyle w:val="Heading3"/>
      </w:pPr>
      <w:r>
        <w:rPr>
          <w:rFonts w:ascii="Calibri" w:hAnsi="Calibri"/>
          <w:b/>
          <w:color w:val="3B4259"/>
          <w:sz w:val="24"/>
        </w:rPr>
        <w:t>Table 2 — Beat / Miss History (Last 8 Quarters, Top 2 KPIs)</w:t>
      </w:r>
    </w:p>
    <w:p>
      <w:pPr>
        <w:pStyle w:val="Heading4"/>
      </w:pPr>
      <w:r>
        <w:rPr>
          <w:rFonts w:ascii="Calibri" w:hAnsi="Calibri"/>
          <w:b/>
          <w:color w:val="3B4259"/>
          <w:sz w:val="22"/>
        </w:rPr>
        <w:t>Adjusted EPS (Diluted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$1.07</w:t>
            </w:r>
          </w:p>
        </w:tc>
        <w:tc>
          <w:tcPr>
            <w:tcW w:type="dxa" w:w="1728"/>
          </w:tcPr>
          <w:p>
            <w:r>
              <w:rPr>
                <w:rFonts w:ascii="Calibri" w:hAnsi="Calibri"/>
                <w:sz w:val="22"/>
              </w:rPr>
              <w:t>$1.01</w:t>
            </w:r>
          </w:p>
        </w:tc>
        <w:tc>
          <w:tcPr>
            <w:tcW w:type="dxa" w:w="1728"/>
          </w:tcPr>
          <w:p>
            <w:r>
              <w:rPr>
                <w:rFonts w:ascii="Calibri" w:hAnsi="Calibri"/>
                <w:b/>
                <w:color w:val="30A46C"/>
                <w:sz w:val="22"/>
              </w:rPr>
              <w:t>+6.0%</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$1.04</w:t>
            </w:r>
          </w:p>
        </w:tc>
        <w:tc>
          <w:tcPr>
            <w:tcW w:type="dxa" w:w="1728"/>
          </w:tcPr>
          <w:p>
            <w:r>
              <w:rPr>
                <w:rFonts w:ascii="Calibri" w:hAnsi="Calibri"/>
                <w:sz w:val="22"/>
              </w:rPr>
              <w:t>$0.98</w:t>
            </w:r>
          </w:p>
        </w:tc>
        <w:tc>
          <w:tcPr>
            <w:tcW w:type="dxa" w:w="1728"/>
          </w:tcPr>
          <w:p>
            <w:r>
              <w:rPr>
                <w:rFonts w:ascii="Calibri" w:hAnsi="Calibri"/>
                <w:b/>
                <w:color w:val="30A46C"/>
                <w:sz w:val="22"/>
              </w:rPr>
              <w:t>+6.1%</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$0.99</w:t>
            </w:r>
          </w:p>
        </w:tc>
        <w:tc>
          <w:tcPr>
            <w:tcW w:type="dxa" w:w="1728"/>
          </w:tcPr>
          <w:p>
            <w:r>
              <w:rPr>
                <w:rFonts w:ascii="Calibri" w:hAnsi="Calibri"/>
                <w:sz w:val="22"/>
              </w:rPr>
              <w:t>$0.95</w:t>
            </w:r>
          </w:p>
        </w:tc>
        <w:tc>
          <w:tcPr>
            <w:tcW w:type="dxa" w:w="1728"/>
          </w:tcPr>
          <w:p>
            <w:r>
              <w:rPr>
                <w:rFonts w:ascii="Calibri" w:hAnsi="Calibri"/>
                <w:b/>
                <w:color w:val="30A46C"/>
                <w:sz w:val="22"/>
              </w:rPr>
              <w:t>+4.2%</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$0.93</w:t>
            </w:r>
          </w:p>
        </w:tc>
        <w:tc>
          <w:tcPr>
            <w:tcW w:type="dxa" w:w="1728"/>
          </w:tcPr>
          <w:p>
            <w:r>
              <w:rPr>
                <w:rFonts w:ascii="Calibri" w:hAnsi="Calibri"/>
                <w:sz w:val="22"/>
              </w:rPr>
              <w:t>$0.89</w:t>
            </w:r>
          </w:p>
        </w:tc>
        <w:tc>
          <w:tcPr>
            <w:tcW w:type="dxa" w:w="1728"/>
          </w:tcPr>
          <w:p>
            <w:r>
              <w:rPr>
                <w:rFonts w:ascii="Calibri" w:hAnsi="Calibri"/>
                <w:b/>
                <w:color w:val="30A46C"/>
                <w:sz w:val="22"/>
              </w:rPr>
              <w:t>+4.5%</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$0.95</w:t>
            </w:r>
          </w:p>
        </w:tc>
        <w:tc>
          <w:tcPr>
            <w:tcW w:type="dxa" w:w="1728"/>
          </w:tcPr>
          <w:p>
            <w:r>
              <w:rPr>
                <w:rFonts w:ascii="Calibri" w:hAnsi="Calibri"/>
                <w:sz w:val="22"/>
              </w:rPr>
              <w:t>$0.87</w:t>
            </w:r>
          </w:p>
        </w:tc>
        <w:tc>
          <w:tcPr>
            <w:tcW w:type="dxa" w:w="1728"/>
          </w:tcPr>
          <w:p>
            <w:r>
              <w:rPr>
                <w:rFonts w:ascii="Calibri" w:hAnsi="Calibri"/>
                <w:b/>
                <w:color w:val="30A46C"/>
                <w:sz w:val="22"/>
              </w:rPr>
              <w:t>+9.2%</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$0.95</w:t>
            </w:r>
          </w:p>
        </w:tc>
        <w:tc>
          <w:tcPr>
            <w:tcW w:type="dxa" w:w="1728"/>
          </w:tcPr>
          <w:p>
            <w:r>
              <w:rPr>
                <w:rFonts w:ascii="Calibri" w:hAnsi="Calibri"/>
                <w:sz w:val="22"/>
              </w:rPr>
              <w:t>$0.89</w:t>
            </w:r>
          </w:p>
        </w:tc>
        <w:tc>
          <w:tcPr>
            <w:tcW w:type="dxa" w:w="1728"/>
          </w:tcPr>
          <w:p>
            <w:r>
              <w:rPr>
                <w:rFonts w:ascii="Calibri" w:hAnsi="Calibri"/>
                <w:b/>
                <w:color w:val="30A46C"/>
                <w:sz w:val="22"/>
              </w:rPr>
              <w:t>+6.7%</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$0.89</w:t>
            </w:r>
          </w:p>
        </w:tc>
        <w:tc>
          <w:tcPr>
            <w:tcW w:type="dxa" w:w="1728"/>
          </w:tcPr>
          <w:p>
            <w:r>
              <w:rPr>
                <w:rFonts w:ascii="Calibri" w:hAnsi="Calibri"/>
                <w:sz w:val="22"/>
              </w:rPr>
              <w:t>$0.85</w:t>
            </w:r>
          </w:p>
        </w:tc>
        <w:tc>
          <w:tcPr>
            <w:tcW w:type="dxa" w:w="1728"/>
          </w:tcPr>
          <w:p>
            <w:r>
              <w:rPr>
                <w:rFonts w:ascii="Calibri" w:hAnsi="Calibri"/>
                <w:b/>
                <w:color w:val="30A46C"/>
                <w:sz w:val="22"/>
              </w:rPr>
              <w:t>+4.7%</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$0.93</w:t>
            </w:r>
          </w:p>
        </w:tc>
        <w:tc>
          <w:tcPr>
            <w:tcW w:type="dxa" w:w="1728"/>
          </w:tcPr>
          <w:p>
            <w:r>
              <w:rPr>
                <w:rFonts w:ascii="Calibri" w:hAnsi="Calibri"/>
                <w:sz w:val="22"/>
              </w:rPr>
              <w:t>N/A — pre-spin</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Core Sales Growth (Total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(pp)</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+1.9%</w:t>
            </w:r>
          </w:p>
        </w:tc>
        <w:tc>
          <w:tcPr>
            <w:tcW w:type="dxa" w:w="1728"/>
          </w:tcPr>
          <w:p>
            <w:r>
              <w:rPr>
                <w:rFonts w:ascii="Calibri" w:hAnsi="Calibri"/>
                <w:sz w:val="22"/>
              </w:rPr>
              <w:t>+1.2%</w:t>
            </w:r>
          </w:p>
        </w:tc>
        <w:tc>
          <w:tcPr>
            <w:tcW w:type="dxa" w:w="1728"/>
          </w:tcPr>
          <w:p>
            <w:r>
              <w:rPr>
                <w:rFonts w:ascii="Calibri" w:hAnsi="Calibri"/>
                <w:b/>
                <w:color w:val="30A46C"/>
                <w:sz w:val="22"/>
              </w:rPr>
              <w:t>+0.7 pp</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+1.6%</w:t>
            </w:r>
          </w:p>
        </w:tc>
        <w:tc>
          <w:tcPr>
            <w:tcW w:type="dxa" w:w="1728"/>
          </w:tcPr>
          <w:p>
            <w:r>
              <w:rPr>
                <w:rFonts w:ascii="Calibri" w:hAnsi="Calibri"/>
                <w:sz w:val="22"/>
              </w:rPr>
              <w:t>+2.5%</w:t>
            </w:r>
          </w:p>
        </w:tc>
        <w:tc>
          <w:tcPr>
            <w:tcW w:type="dxa" w:w="1728"/>
          </w:tcPr>
          <w:p>
            <w:r>
              <w:rPr>
                <w:rFonts w:ascii="Calibri" w:hAnsi="Calibri"/>
                <w:b/>
                <w:color w:val="E5484D"/>
                <w:sz w:val="22"/>
              </w:rPr>
              <w:t>−0.9 pp</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+5.1%</w:t>
            </w:r>
          </w:p>
        </w:tc>
        <w:tc>
          <w:tcPr>
            <w:tcW w:type="dxa" w:w="1728"/>
          </w:tcPr>
          <w:p>
            <w:r>
              <w:rPr>
                <w:rFonts w:ascii="Calibri" w:hAnsi="Calibri"/>
                <w:sz w:val="22"/>
              </w:rPr>
              <w:t>+4.7%</w:t>
            </w:r>
          </w:p>
        </w:tc>
        <w:tc>
          <w:tcPr>
            <w:tcW w:type="dxa" w:w="1728"/>
          </w:tcPr>
          <w:p>
            <w:r>
              <w:rPr>
                <w:rFonts w:ascii="Calibri" w:hAnsi="Calibri"/>
                <w:b/>
                <w:color w:val="30A46C"/>
                <w:sz w:val="22"/>
              </w:rPr>
              <w:t>+0.4 pp</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+4.8%</w:t>
            </w:r>
          </w:p>
        </w:tc>
        <w:tc>
          <w:tcPr>
            <w:tcW w:type="dxa" w:w="1728"/>
          </w:tcPr>
          <w:p>
            <w:r>
              <w:rPr>
                <w:rFonts w:ascii="Calibri" w:hAnsi="Calibri"/>
                <w:sz w:val="22"/>
              </w:rPr>
              <w:t>+4.4%</w:t>
            </w:r>
          </w:p>
        </w:tc>
        <w:tc>
          <w:tcPr>
            <w:tcW w:type="dxa" w:w="1728"/>
          </w:tcPr>
          <w:p>
            <w:r>
              <w:rPr>
                <w:rFonts w:ascii="Calibri" w:hAnsi="Calibri"/>
                <w:b/>
                <w:color w:val="30A46C"/>
                <w:sz w:val="22"/>
              </w:rPr>
              <w:t>+0.4 pp</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+7.8%</w:t>
            </w:r>
          </w:p>
        </w:tc>
        <w:tc>
          <w:tcPr>
            <w:tcW w:type="dxa" w:w="1728"/>
          </w:tcPr>
          <w:p>
            <w:r>
              <w:rPr>
                <w:rFonts w:ascii="Calibri" w:hAnsi="Calibri"/>
                <w:sz w:val="22"/>
              </w:rPr>
              <w:t>N/A — not tracked</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+4.6%</w:t>
            </w:r>
          </w:p>
        </w:tc>
        <w:tc>
          <w:tcPr>
            <w:tcW w:type="dxa" w:w="1728"/>
          </w:tcPr>
          <w:p>
            <w:r>
              <w:rPr>
                <w:rFonts w:ascii="Calibri" w:hAnsi="Calibri"/>
                <w:sz w:val="22"/>
              </w:rPr>
              <w:t>N/A — not tracked</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+4.6%</w:t>
            </w:r>
          </w:p>
        </w:tc>
        <w:tc>
          <w:tcPr>
            <w:tcW w:type="dxa" w:w="1728"/>
          </w:tcPr>
          <w:p>
            <w:r>
              <w:rPr>
                <w:rFonts w:ascii="Calibri" w:hAnsi="Calibri"/>
                <w:sz w:val="22"/>
              </w:rPr>
              <w:t>N/A — not tracked</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2024</w:t>
            </w:r>
          </w:p>
        </w:tc>
        <w:tc>
          <w:tcPr>
            <w:tcW w:type="dxa" w:w="1728"/>
          </w:tcPr>
          <w:p>
            <w:r>
              <w:rPr>
                <w:rFonts w:ascii="Calibri" w:hAnsi="Calibri"/>
                <w:sz w:val="22"/>
              </w:rPr>
              <w:t>N/A — pre-spin</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i/>
          <w:color w:val="525866"/>
          <w:sz w:val="22"/>
        </w:rPr>
        <w:t>VLTO has beaten adjusted EPS consensus in every quarter since its spin-off, with a consistent beat magnitude of +4%–+9%. Core sales growth has been more variable — the Q4 2025 miss (shipping day headwinds) was the notable exception — but the trend has been to meet or exceed. This consistent EPS beat pattern reflects management’s conservative guidance philosophy and strong VES-driven cost execution.</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raised once since last earnings (full-year EPS lifted at Q1 2026 print) and has not been revised since. Management tone is </w:t>
      </w:r>
      <w:r>
        <w:rPr>
          <w:rFonts w:ascii="Calibri" w:hAnsi="Calibri"/>
          <w:b/>
          <w:color w:val="525866"/>
          <w:sz w:val="22"/>
        </w:rPr>
        <w:t>confident and constructive</w:t>
      </w:r>
      <w:r>
        <w:rPr>
          <w:rFonts w:ascii="Calibri" w:hAnsi="Calibri"/>
          <w:color w:val="525866"/>
          <w:sz w:val="22"/>
        </w:rPr>
        <w:t xml:space="preserve"> — the most positive posture since the spin-off — with explicit expectation of sequential core growth acceleration through year-end.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Adj. EPS</w:t>
            </w:r>
          </w:p>
        </w:tc>
        <w:tc>
          <w:tcPr>
            <w:tcW w:type="dxa" w:w="1728"/>
          </w:tcPr>
          <w:p>
            <w:r>
              <w:rPr>
                <w:rFonts w:ascii="Calibri" w:hAnsi="Calibri"/>
                <w:sz w:val="22"/>
              </w:rPr>
              <w:t>$0.96–$1.00</w:t>
            </w:r>
          </w:p>
        </w:tc>
        <w:tc>
          <w:tcPr>
            <w:tcW w:type="dxa" w:w="1728"/>
          </w:tcPr>
          <w:p>
            <w:r>
              <w:rPr>
                <w:rFonts w:ascii="Calibri" w:hAnsi="Calibri"/>
                <w:sz w:val="22"/>
              </w:rPr>
              <w:t>—</w:t>
            </w:r>
          </w:p>
        </w:tc>
        <w:tc>
          <w:tcPr>
            <w:tcW w:type="dxa" w:w="1728"/>
          </w:tcPr>
          <w:p>
            <w:r>
              <w:rPr>
                <w:rFonts w:ascii="Calibri" w:hAnsi="Calibri"/>
                <w:sz w:val="22"/>
              </w:rPr>
              <w:t>$1.01</w:t>
            </w:r>
          </w:p>
        </w:tc>
        <w:tc>
          <w:tcPr>
            <w:tcW w:type="dxa" w:w="1728"/>
          </w:tcPr>
          <w:p>
            <w:r>
              <w:rPr>
                <w:rFonts w:ascii="Calibri" w:hAnsi="Calibri"/>
                <w:sz w:val="22"/>
              </w:rPr>
              <w:t>No post-earnings revision; consensus sits ~3% above midpoint</w:t>
            </w:r>
          </w:p>
        </w:tc>
      </w:tr>
      <w:tr>
        <w:tc>
          <w:tcPr>
            <w:tcW w:type="dxa" w:w="1728"/>
          </w:tcPr>
          <w:p>
            <w:r>
              <w:rPr>
                <w:rFonts w:ascii="Calibri" w:hAnsi="Calibri"/>
                <w:sz w:val="22"/>
              </w:rPr>
              <w:t>Q2 2026 Core Sales Growth</w:t>
            </w:r>
          </w:p>
        </w:tc>
        <w:tc>
          <w:tcPr>
            <w:tcW w:type="dxa" w:w="1728"/>
          </w:tcPr>
          <w:p>
            <w:r>
              <w:rPr>
                <w:rFonts w:ascii="Calibri" w:hAnsi="Calibri"/>
                <w:sz w:val="22"/>
              </w:rPr>
              <w:t>3.0%–4.0%</w:t>
            </w:r>
          </w:p>
        </w:tc>
        <w:tc>
          <w:tcPr>
            <w:tcW w:type="dxa" w:w="1728"/>
          </w:tcPr>
          <w:p>
            <w:r>
              <w:rPr>
                <w:rFonts w:ascii="Calibri" w:hAnsi="Calibri"/>
                <w:sz w:val="22"/>
              </w:rPr>
              <w:t>—</w:t>
            </w:r>
          </w:p>
        </w:tc>
        <w:tc>
          <w:tcPr>
            <w:tcW w:type="dxa" w:w="1728"/>
          </w:tcPr>
          <w:p>
            <w:r>
              <w:rPr>
                <w:rFonts w:ascii="Calibri" w:hAnsi="Calibri"/>
                <w:sz w:val="22"/>
              </w:rPr>
              <w:t>~3.5%</w:t>
            </w:r>
          </w:p>
        </w:tc>
        <w:tc>
          <w:tcPr>
            <w:tcW w:type="dxa" w:w="1728"/>
          </w:tcPr>
          <w:p>
            <w:r>
              <w:rPr>
                <w:rFonts w:ascii="Calibri" w:hAnsi="Calibri"/>
                <w:sz w:val="22"/>
              </w:rPr>
              <w:t>No revision; consensus at midpoint of range</w:t>
            </w:r>
          </w:p>
        </w:tc>
      </w:tr>
      <w:tr>
        <w:tc>
          <w:tcPr>
            <w:tcW w:type="dxa" w:w="1728"/>
          </w:tcPr>
          <w:p>
            <w:r>
              <w:rPr>
                <w:rFonts w:ascii="Calibri" w:hAnsi="Calibri"/>
                <w:sz w:val="22"/>
              </w:rPr>
              <w:t>Q2 2026 Adj. Operating Margin</w:t>
            </w:r>
          </w:p>
        </w:tc>
        <w:tc>
          <w:tcPr>
            <w:tcW w:type="dxa" w:w="1728"/>
          </w:tcPr>
          <w:p>
            <w:r>
              <w:rPr>
                <w:rFonts w:ascii="Calibri" w:hAnsi="Calibri"/>
                <w:sz w:val="22"/>
              </w:rPr>
              <w:t>~23.5% (flat YoY)</w:t>
            </w:r>
          </w:p>
        </w:tc>
        <w:tc>
          <w:tcPr>
            <w:tcW w:type="dxa" w:w="1728"/>
          </w:tcPr>
          <w:p>
            <w:r>
              <w:rPr>
                <w:rFonts w:ascii="Calibri" w:hAnsi="Calibri"/>
                <w:sz w:val="22"/>
              </w:rPr>
              <w:t>—</w:t>
            </w:r>
          </w:p>
        </w:tc>
        <w:tc>
          <w:tcPr>
            <w:tcW w:type="dxa" w:w="1728"/>
          </w:tcPr>
          <w:p>
            <w:r>
              <w:rPr>
                <w:rFonts w:ascii="Calibri" w:hAnsi="Calibri"/>
                <w:sz w:val="22"/>
              </w:rPr>
              <w:t>~23.5%</w:t>
            </w:r>
          </w:p>
        </w:tc>
        <w:tc>
          <w:tcPr>
            <w:tcW w:type="dxa" w:w="1728"/>
          </w:tcPr>
          <w:p>
            <w:r>
              <w:rPr>
                <w:rFonts w:ascii="Calibri" w:hAnsi="Calibri"/>
                <w:sz w:val="22"/>
              </w:rPr>
              <w:t>No revision; consensus in line with guidance</w:t>
            </w:r>
          </w:p>
        </w:tc>
      </w:tr>
      <w:tr>
        <w:tc>
          <w:tcPr>
            <w:tcW w:type="dxa" w:w="1728"/>
          </w:tcPr>
          <w:p>
            <w:r>
              <w:rPr>
                <w:rFonts w:ascii="Calibri" w:hAnsi="Calibri"/>
                <w:sz w:val="22"/>
              </w:rPr>
              <w:t>FY 2026 Adj. EPS</w:t>
            </w:r>
          </w:p>
        </w:tc>
        <w:tc>
          <w:tcPr>
            <w:tcW w:type="dxa" w:w="1728"/>
          </w:tcPr>
          <w:p>
            <w:r>
              <w:rPr>
                <w:rFonts w:ascii="Calibri" w:hAnsi="Calibri"/>
                <w:sz w:val="22"/>
              </w:rPr>
              <w:t>$4.20–$4.28 (raised from $4.10–$4.20 at Q4 2025 earnings)</w:t>
            </w:r>
          </w:p>
        </w:tc>
        <w:tc>
          <w:tcPr>
            <w:tcW w:type="dxa" w:w="1728"/>
          </w:tcPr>
          <w:p>
            <w:r>
              <w:rPr>
                <w:rFonts w:ascii="Calibri" w:hAnsi="Calibri"/>
                <w:sz w:val="22"/>
              </w:rPr>
              <w:t>—</w:t>
            </w:r>
          </w:p>
        </w:tc>
        <w:tc>
          <w:tcPr>
            <w:tcW w:type="dxa" w:w="1728"/>
          </w:tcPr>
          <w:p>
            <w:r>
              <w:rPr>
                <w:rFonts w:ascii="Calibri" w:hAnsi="Calibri"/>
                <w:sz w:val="22"/>
              </w:rPr>
              <w:t>$4.25</w:t>
            </w:r>
          </w:p>
        </w:tc>
        <w:tc>
          <w:tcPr>
            <w:tcW w:type="dxa" w:w="1728"/>
          </w:tcPr>
          <w:p>
            <w:r>
              <w:rPr>
                <w:rFonts w:ascii="Calibri" w:hAnsi="Calibri"/>
                <w:sz w:val="22"/>
              </w:rPr>
              <w:t>↑ Raised at Q1 2026 earnings (Apr 29); driven by Q1 beat, strong order books, pricing at high end of range; no further revision since</w:t>
            </w:r>
          </w:p>
        </w:tc>
      </w:tr>
      <w:tr>
        <w:tc>
          <w:tcPr>
            <w:tcW w:type="dxa" w:w="1728"/>
          </w:tcPr>
          <w:p>
            <w:r>
              <w:rPr>
                <w:rFonts w:ascii="Calibri" w:hAnsi="Calibri"/>
                <w:sz w:val="22"/>
              </w:rPr>
              <w:t>FY 2026 Core Sales Growth</w:t>
            </w:r>
          </w:p>
        </w:tc>
        <w:tc>
          <w:tcPr>
            <w:tcW w:type="dxa" w:w="1728"/>
          </w:tcPr>
          <w:p>
            <w:r>
              <w:rPr>
                <w:rFonts w:ascii="Calibri" w:hAnsi="Calibri"/>
                <w:sz w:val="22"/>
              </w:rPr>
              <w:t>3.0%–4.5%</w:t>
            </w:r>
          </w:p>
        </w:tc>
        <w:tc>
          <w:tcPr>
            <w:tcW w:type="dxa" w:w="1728"/>
          </w:tcPr>
          <w:p>
            <w:r>
              <w:rPr>
                <w:rFonts w:ascii="Calibri" w:hAnsi="Calibri"/>
                <w:sz w:val="22"/>
              </w:rPr>
              <w:t>—</w:t>
            </w:r>
          </w:p>
        </w:tc>
        <w:tc>
          <w:tcPr>
            <w:tcW w:type="dxa" w:w="1728"/>
          </w:tcPr>
          <w:p>
            <w:r>
              <w:rPr>
                <w:rFonts w:ascii="Calibri" w:hAnsi="Calibri"/>
                <w:sz w:val="22"/>
              </w:rPr>
              <w:t>~3.9%</w:t>
            </w:r>
          </w:p>
        </w:tc>
        <w:tc>
          <w:tcPr>
            <w:tcW w:type="dxa" w:w="1728"/>
          </w:tcPr>
          <w:p>
            <w:r>
              <w:rPr>
                <w:rFonts w:ascii="Calibri" w:hAnsi="Calibri"/>
                <w:sz w:val="22"/>
              </w:rPr>
              <w:t>No revision; consensus near midpoint of range</w:t>
            </w:r>
          </w:p>
        </w:tc>
      </w:tr>
      <w:tr>
        <w:tc>
          <w:tcPr>
            <w:tcW w:type="dxa" w:w="1728"/>
          </w:tcPr>
          <w:p>
            <w:r>
              <w:rPr>
                <w:rFonts w:ascii="Calibri" w:hAnsi="Calibri"/>
                <w:sz w:val="22"/>
              </w:rPr>
              <w:t>FY 2026 Adj. Operating Margin</w:t>
            </w:r>
          </w:p>
        </w:tc>
        <w:tc>
          <w:tcPr>
            <w:tcW w:type="dxa" w:w="1728"/>
          </w:tcPr>
          <w:p>
            <w:r>
              <w:rPr>
                <w:rFonts w:ascii="Calibri" w:hAnsi="Calibri"/>
                <w:sz w:val="22"/>
              </w:rPr>
              <w:t>~25 bps expansion YoY</w:t>
            </w:r>
          </w:p>
        </w:tc>
        <w:tc>
          <w:tcPr>
            <w:tcW w:type="dxa" w:w="1728"/>
          </w:tcPr>
          <w:p>
            <w:r>
              <w:rPr>
                <w:rFonts w:ascii="Calibri" w:hAnsi="Calibri"/>
                <w:sz w:val="22"/>
              </w:rPr>
              <w:t>—</w:t>
            </w:r>
          </w:p>
        </w:tc>
        <w:tc>
          <w:tcPr>
            <w:tcW w:type="dxa" w:w="1728"/>
          </w:tcPr>
          <w:p>
            <w:r>
              <w:rPr>
                <w:rFonts w:ascii="Calibri" w:hAnsi="Calibri"/>
                <w:sz w:val="22"/>
              </w:rPr>
              <w:t>~24.5%</w:t>
            </w:r>
          </w:p>
        </w:tc>
        <w:tc>
          <w:tcPr>
            <w:tcW w:type="dxa" w:w="1728"/>
          </w:tcPr>
          <w:p>
            <w:r>
              <w:rPr>
                <w:rFonts w:ascii="Calibri" w:hAnsi="Calibri"/>
                <w:sz w:val="22"/>
              </w:rPr>
              <w:t>No revision; tariff headwind roll-off in H2 expected to support expansion</w:t>
            </w:r>
          </w:p>
        </w:tc>
      </w:tr>
      <w:tr>
        <w:tc>
          <w:tcPr>
            <w:tcW w:type="dxa" w:w="1728"/>
          </w:tcPr>
          <w:p>
            <w:r>
              <w:rPr>
                <w:rFonts w:ascii="Calibri" w:hAnsi="Calibri"/>
                <w:sz w:val="22"/>
              </w:rPr>
              <w:t>FY 2026 FCF Conversion</w:t>
            </w:r>
          </w:p>
        </w:tc>
        <w:tc>
          <w:tcPr>
            <w:tcW w:type="dxa" w:w="1728"/>
          </w:tcPr>
          <w:p>
            <w:r>
              <w:rPr>
                <w:rFonts w:ascii="Calibri" w:hAnsi="Calibri"/>
                <w:sz w:val="22"/>
              </w:rPr>
              <w:t>~100% of GAAP net earnings (raised from prior guidance)</w:t>
            </w:r>
          </w:p>
        </w:tc>
        <w:tc>
          <w:tcPr>
            <w:tcW w:type="dxa" w:w="1728"/>
          </w:tcPr>
          <w:p>
            <w:r>
              <w:rPr>
                <w:rFonts w:ascii="Calibri" w:hAnsi="Calibri"/>
                <w:sz w:val="22"/>
              </w:rPr>
              <w:t>—</w:t>
            </w:r>
          </w:p>
        </w:tc>
        <w:tc>
          <w:tcPr>
            <w:tcW w:type="dxa" w:w="1728"/>
          </w:tcPr>
          <w:p>
            <w:r>
              <w:rPr>
                <w:rFonts w:ascii="Calibri" w:hAnsi="Calibri"/>
                <w:sz w:val="22"/>
              </w:rPr>
              <w:t>~100%</w:t>
            </w:r>
          </w:p>
        </w:tc>
        <w:tc>
          <w:tcPr>
            <w:tcW w:type="dxa" w:w="1728"/>
          </w:tcPr>
          <w:p>
            <w:r>
              <w:rPr>
                <w:rFonts w:ascii="Calibri" w:hAnsi="Calibri"/>
                <w:sz w:val="22"/>
              </w:rPr>
              <w:t>↑ Raised at Q1 2026 earnings; reflects strong cash generation profile</w:t>
            </w:r>
          </w:p>
        </w:tc>
      </w:tr>
    </w:tbl>
    <w:p>
      <w:r>
        <w:rPr>
          <w:rFonts w:ascii="Calibri" w:hAnsi="Calibri"/>
          <w:i/>
          <w:color w:val="525866"/>
          <w:sz w:val="22"/>
        </w:rPr>
        <w:t>Source: Q1 2026 Earnings Release and Earnings Call Transcript (April 28–29,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broadly stable since the Q1 print, with Q2 EPS drifting up ~+0.8% and FY EPS up ~+1.2% from the post-earnings baseline. Revisions are tracking guidance rather than diverging, which is a </w:t>
      </w:r>
      <w:r>
        <w:rPr>
          <w:rFonts w:ascii="Calibri" w:hAnsi="Calibri"/>
          <w:b/>
          <w:color w:val="525866"/>
          <w:sz w:val="22"/>
        </w:rPr>
        <w:t>healthy sign</w:t>
      </w:r>
      <w:r>
        <w:rPr>
          <w:rFonts w:ascii="Calibri" w:hAnsi="Calibri"/>
          <w:color w:val="525866"/>
          <w:sz w:val="22"/>
        </w:rPr>
        <w:t xml:space="preserve"> — no gap has opened that would represent either a risk (estimates running ahead of guidance) or a cushion (estimates well below guidance).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$1.000</w:t>
            </w:r>
          </w:p>
        </w:tc>
        <w:tc>
          <w:tcPr>
            <w:tcW w:type="dxa" w:w="1080"/>
          </w:tcPr>
          <w:p>
            <w:r>
              <w:rPr>
                <w:rFonts w:ascii="Calibri" w:hAnsi="Calibri"/>
                <w:sz w:val="22"/>
              </w:rPr>
              <w:t>$1.008</w:t>
            </w:r>
          </w:p>
        </w:tc>
        <w:tc>
          <w:tcPr>
            <w:tcW w:type="dxa" w:w="1080"/>
          </w:tcPr>
          <w:p>
            <w:r>
              <w:rPr>
                <w:rFonts w:ascii="Calibri" w:hAnsi="Calibri"/>
                <w:sz w:val="22"/>
              </w:rPr>
              <w:t>+0.8%</w:t>
            </w:r>
          </w:p>
        </w:tc>
        <w:tc>
          <w:tcPr>
            <w:tcW w:type="dxa" w:w="1080"/>
          </w:tcPr>
          <w:p>
            <w:r>
              <w:rPr>
                <w:rFonts w:ascii="Calibri" w:hAnsi="Calibri"/>
                <w:sz w:val="22"/>
              </w:rPr>
              <w:t>$0.96–$1.00</w:t>
            </w:r>
          </w:p>
        </w:tc>
        <w:tc>
          <w:tcPr>
            <w:tcW w:type="dxa" w:w="1080"/>
          </w:tcPr>
          <w:p>
            <w:r>
              <w:rPr>
                <w:rFonts w:ascii="Calibri" w:hAnsi="Calibri"/>
                <w:sz w:val="22"/>
              </w:rPr>
              <w:t>$0.96–$1.00 (unchanged)</w:t>
            </w:r>
          </w:p>
        </w:tc>
        <w:tc>
          <w:tcPr>
            <w:tcW w:type="dxa" w:w="1080"/>
          </w:tcPr>
          <w:p>
            <w:r>
              <w:rPr>
                <w:rFonts w:ascii="Calibri" w:hAnsi="Calibri"/>
                <w:sz w:val="22"/>
              </w:rPr>
              <w:t>—</w:t>
            </w:r>
          </w:p>
        </w:tc>
        <w:tc>
          <w:tcPr>
            <w:tcW w:type="dxa" w:w="1080"/>
          </w:tcPr>
          <w:p>
            <w:r>
              <w:rPr>
                <w:rFonts w:ascii="Calibri" w:hAnsi="Calibri"/>
                <w:sz w:val="22"/>
              </w:rPr>
              <w:t>+3.1% above midpoint</w:t>
            </w:r>
          </w:p>
        </w:tc>
      </w:tr>
      <w:tr>
        <w:tc>
          <w:tcPr>
            <w:tcW w:type="dxa" w:w="1080"/>
          </w:tcPr>
          <w:p>
            <w:r>
              <w:rPr>
                <w:rFonts w:ascii="Calibri" w:hAnsi="Calibri"/>
                <w:sz w:val="22"/>
              </w:rPr>
              <w:t>Core Sales Growth — Q2 2026</w:t>
            </w:r>
          </w:p>
        </w:tc>
        <w:tc>
          <w:tcPr>
            <w:tcW w:type="dxa" w:w="1080"/>
          </w:tcPr>
          <w:p>
            <w:r>
              <w:rPr>
                <w:rFonts w:ascii="Calibri" w:hAnsi="Calibri"/>
                <w:sz w:val="22"/>
              </w:rPr>
              <w:t>~3.4%</w:t>
            </w:r>
          </w:p>
        </w:tc>
        <w:tc>
          <w:tcPr>
            <w:tcW w:type="dxa" w:w="1080"/>
          </w:tcPr>
          <w:p>
            <w:r>
              <w:rPr>
                <w:rFonts w:ascii="Calibri" w:hAnsi="Calibri"/>
                <w:sz w:val="22"/>
              </w:rPr>
              <w:t>~3.5%</w:t>
            </w:r>
          </w:p>
        </w:tc>
        <w:tc>
          <w:tcPr>
            <w:tcW w:type="dxa" w:w="1080"/>
          </w:tcPr>
          <w:p>
            <w:r>
              <w:rPr>
                <w:rFonts w:ascii="Calibri" w:hAnsi="Calibri"/>
                <w:sz w:val="22"/>
              </w:rPr>
              <w:t>+0.1 pp</w:t>
            </w:r>
          </w:p>
        </w:tc>
        <w:tc>
          <w:tcPr>
            <w:tcW w:type="dxa" w:w="1080"/>
          </w:tcPr>
          <w:p>
            <w:r>
              <w:rPr>
                <w:rFonts w:ascii="Calibri" w:hAnsi="Calibri"/>
                <w:sz w:val="22"/>
              </w:rPr>
              <w:t>3.0%–4.0%</w:t>
            </w:r>
          </w:p>
        </w:tc>
        <w:tc>
          <w:tcPr>
            <w:tcW w:type="dxa" w:w="1080"/>
          </w:tcPr>
          <w:p>
            <w:r>
              <w:rPr>
                <w:rFonts w:ascii="Calibri" w:hAnsi="Calibri"/>
                <w:sz w:val="22"/>
              </w:rPr>
              <w:t>3.0%–4.0% (unchanged)</w:t>
            </w:r>
          </w:p>
        </w:tc>
        <w:tc>
          <w:tcPr>
            <w:tcW w:type="dxa" w:w="1080"/>
          </w:tcPr>
          <w:p>
            <w:r>
              <w:rPr>
                <w:rFonts w:ascii="Calibri" w:hAnsi="Calibri"/>
                <w:sz w:val="22"/>
              </w:rPr>
              <w:t>—</w:t>
            </w:r>
          </w:p>
        </w:tc>
        <w:tc>
          <w:tcPr>
            <w:tcW w:type="dxa" w:w="1080"/>
          </w:tcPr>
          <w:p>
            <w:r>
              <w:rPr>
                <w:rFonts w:ascii="Calibri" w:hAnsi="Calibri"/>
                <w:sz w:val="22"/>
              </w:rPr>
              <w:t>At midpoint</w:t>
            </w:r>
          </w:p>
        </w:tc>
      </w:tr>
      <w:tr>
        <w:tc>
          <w:tcPr>
            <w:tcW w:type="dxa" w:w="1080"/>
          </w:tcPr>
          <w:p>
            <w:r>
              <w:rPr>
                <w:rFonts w:ascii="Calibri" w:hAnsi="Calibri"/>
                <w:sz w:val="22"/>
              </w:rPr>
              <w:t>Adj. EPS — FY 2026</w:t>
            </w:r>
          </w:p>
        </w:tc>
        <w:tc>
          <w:tcPr>
            <w:tcW w:type="dxa" w:w="1080"/>
          </w:tcPr>
          <w:p>
            <w:r>
              <w:rPr>
                <w:rFonts w:ascii="Calibri" w:hAnsi="Calibri"/>
                <w:sz w:val="22"/>
              </w:rPr>
              <w:t>$4.250</w:t>
            </w:r>
          </w:p>
        </w:tc>
        <w:tc>
          <w:tcPr>
            <w:tcW w:type="dxa" w:w="1080"/>
          </w:tcPr>
          <w:p>
            <w:r>
              <w:rPr>
                <w:rFonts w:ascii="Calibri" w:hAnsi="Calibri"/>
                <w:sz w:val="22"/>
              </w:rPr>
              <w:t>$4.255</w:t>
            </w:r>
          </w:p>
        </w:tc>
        <w:tc>
          <w:tcPr>
            <w:tcW w:type="dxa" w:w="1080"/>
          </w:tcPr>
          <w:p>
            <w:r>
              <w:rPr>
                <w:rFonts w:ascii="Calibri" w:hAnsi="Calibri"/>
                <w:sz w:val="22"/>
              </w:rPr>
              <w:t>+0.1%</w:t>
            </w:r>
          </w:p>
        </w:tc>
        <w:tc>
          <w:tcPr>
            <w:tcW w:type="dxa" w:w="1080"/>
          </w:tcPr>
          <w:p>
            <w:r>
              <w:rPr>
                <w:rFonts w:ascii="Calibri" w:hAnsi="Calibri"/>
                <w:sz w:val="22"/>
              </w:rPr>
              <w:t>$4.20–$4.28</w:t>
            </w:r>
          </w:p>
        </w:tc>
        <w:tc>
          <w:tcPr>
            <w:tcW w:type="dxa" w:w="1080"/>
          </w:tcPr>
          <w:p>
            <w:r>
              <w:rPr>
                <w:rFonts w:ascii="Calibri" w:hAnsi="Calibri"/>
                <w:sz w:val="22"/>
              </w:rPr>
              <w:t>$4.20–$4.28 (unchanged)</w:t>
            </w:r>
          </w:p>
        </w:tc>
        <w:tc>
          <w:tcPr>
            <w:tcW w:type="dxa" w:w="1080"/>
          </w:tcPr>
          <w:p>
            <w:r>
              <w:rPr>
                <w:rFonts w:ascii="Calibri" w:hAnsi="Calibri"/>
                <w:sz w:val="22"/>
              </w:rPr>
              <w:t>—</w:t>
            </w:r>
          </w:p>
        </w:tc>
        <w:tc>
          <w:tcPr>
            <w:tcW w:type="dxa" w:w="1080"/>
          </w:tcPr>
          <w:p>
            <w:r>
              <w:rPr>
                <w:rFonts w:ascii="Calibri" w:hAnsi="Calibri"/>
                <w:sz w:val="22"/>
              </w:rPr>
              <w:t>+0.6% above midpoint ($4.24)</w:t>
            </w:r>
          </w:p>
        </w:tc>
      </w:tr>
      <w:tr>
        <w:tc>
          <w:tcPr>
            <w:tcW w:type="dxa" w:w="1080"/>
          </w:tcPr>
          <w:p>
            <w:r>
              <w:rPr>
                <w:rFonts w:ascii="Calibri" w:hAnsi="Calibri"/>
                <w:sz w:val="22"/>
              </w:rPr>
              <w:t>Core Sales Growth — FY 2026</w:t>
            </w:r>
          </w:p>
        </w:tc>
        <w:tc>
          <w:tcPr>
            <w:tcW w:type="dxa" w:w="1080"/>
          </w:tcPr>
          <w:p>
            <w:r>
              <w:rPr>
                <w:rFonts w:ascii="Calibri" w:hAnsi="Calibri"/>
                <w:sz w:val="22"/>
              </w:rPr>
              <w:t>~3.8%</w:t>
            </w:r>
          </w:p>
        </w:tc>
        <w:tc>
          <w:tcPr>
            <w:tcW w:type="dxa" w:w="1080"/>
          </w:tcPr>
          <w:p>
            <w:r>
              <w:rPr>
                <w:rFonts w:ascii="Calibri" w:hAnsi="Calibri"/>
                <w:sz w:val="22"/>
              </w:rPr>
              <w:t>~3.9%</w:t>
            </w:r>
          </w:p>
        </w:tc>
        <w:tc>
          <w:tcPr>
            <w:tcW w:type="dxa" w:w="1080"/>
          </w:tcPr>
          <w:p>
            <w:r>
              <w:rPr>
                <w:rFonts w:ascii="Calibri" w:hAnsi="Calibri"/>
                <w:sz w:val="22"/>
              </w:rPr>
              <w:t>+0.1 pp</w:t>
            </w:r>
          </w:p>
        </w:tc>
        <w:tc>
          <w:tcPr>
            <w:tcW w:type="dxa" w:w="1080"/>
          </w:tcPr>
          <w:p>
            <w:r>
              <w:rPr>
                <w:rFonts w:ascii="Calibri" w:hAnsi="Calibri"/>
                <w:sz w:val="22"/>
              </w:rPr>
              <w:t>3.0%–4.5%</w:t>
            </w:r>
          </w:p>
        </w:tc>
        <w:tc>
          <w:tcPr>
            <w:tcW w:type="dxa" w:w="1080"/>
          </w:tcPr>
          <w:p>
            <w:r>
              <w:rPr>
                <w:rFonts w:ascii="Calibri" w:hAnsi="Calibri"/>
                <w:sz w:val="22"/>
              </w:rPr>
              <w:t>3.0%–4.5% (unchanged)</w:t>
            </w:r>
          </w:p>
        </w:tc>
        <w:tc>
          <w:tcPr>
            <w:tcW w:type="dxa" w:w="1080"/>
          </w:tcPr>
          <w:p>
            <w:r>
              <w:rPr>
                <w:rFonts w:ascii="Calibri" w:hAnsi="Calibri"/>
                <w:sz w:val="22"/>
              </w:rPr>
              <w:t>—</w:t>
            </w:r>
          </w:p>
        </w:tc>
        <w:tc>
          <w:tcPr>
            <w:tcW w:type="dxa" w:w="1080"/>
          </w:tcPr>
          <w:p>
            <w:r>
              <w:rPr>
                <w:rFonts w:ascii="Calibri" w:hAnsi="Calibri"/>
                <w:sz w:val="22"/>
              </w:rPr>
              <w:t>Near midpoint (3.75%)</w:t>
            </w:r>
          </w:p>
        </w:tc>
      </w:tr>
      <w:tr>
        <w:tc>
          <w:tcPr>
            <w:tcW w:type="dxa" w:w="1080"/>
          </w:tcPr>
          <w:p>
            <w:r>
              <w:rPr>
                <w:rFonts w:ascii="Calibri" w:hAnsi="Calibri"/>
                <w:sz w:val="22"/>
              </w:rPr>
              <w:t>Adj. EPS — FY 2027</w:t>
            </w:r>
          </w:p>
        </w:tc>
        <w:tc>
          <w:tcPr>
            <w:tcW w:type="dxa" w:w="1080"/>
          </w:tcPr>
          <w:p>
            <w:r>
              <w:rPr>
                <w:rFonts w:ascii="Calibri" w:hAnsi="Calibri"/>
                <w:sz w:val="22"/>
              </w:rPr>
              <w:t>$4.655</w:t>
            </w:r>
          </w:p>
        </w:tc>
        <w:tc>
          <w:tcPr>
            <w:tcW w:type="dxa" w:w="1080"/>
          </w:tcPr>
          <w:p>
            <w:r>
              <w:rPr>
                <w:rFonts w:ascii="Calibri" w:hAnsi="Calibri"/>
                <w:sz w:val="22"/>
              </w:rPr>
              <w:t>$4.675</w:t>
            </w:r>
          </w:p>
        </w:tc>
        <w:tc>
          <w:tcPr>
            <w:tcW w:type="dxa" w:w="1080"/>
          </w:tcPr>
          <w:p>
            <w:r>
              <w:rPr>
                <w:rFonts w:ascii="Calibri" w:hAnsi="Calibri"/>
                <w:sz w:val="22"/>
              </w:rPr>
              <w:t>+0.4%</w:t>
            </w:r>
          </w:p>
        </w:tc>
        <w:tc>
          <w:tcPr>
            <w:tcW w:type="dxa" w:w="1080"/>
          </w:tcPr>
          <w:p>
            <w:r>
              <w:rPr>
                <w:rFonts w:ascii="Calibri" w:hAnsi="Calibri"/>
                <w:sz w:val="22"/>
              </w:rPr>
              <w:t>N/A (no FY27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Estimates have been remarkably stable since the Q1 print, with Q2 EPS moving only +$0.008 and FY EPS moving only +$0.005 over the past ~90 days. This stability reflects management’s conservative guidance philosophy and the Street’s confidence in the guidance range. The slight upward drift in FY 2027 EPS (+0.4%) reflects growing conviction in the cost optimization program savings materializing in 2027–2028.</w:t>
      </w:r>
    </w:p>
    <w:p>
      <w:r>
        <w:rPr>
          <w:rFonts w:ascii="Calibri" w:hAnsi="Calibri"/>
          <w:i/>
          <w:color w:val="525866"/>
          <w:sz w:val="22"/>
        </w:rPr>
        <w:t>Source: Visible Alpha Consensus and Actuals Data. Post-earnings baseline uses consensus as of May 5, 2026 (approximately 5 trading days after Q1 2026 earnings on April 28,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VLTO’s +10.1% gain since Q1 earnings has been </w:t>
      </w:r>
      <w:r>
        <w:rPr>
          <w:rFonts w:ascii="Calibri" w:hAnsi="Calibri"/>
          <w:b/>
          <w:color w:val="525866"/>
          <w:sz w:val="22"/>
        </w:rPr>
        <w:t>primarily multiple-driven</w:t>
      </w:r>
      <w:r>
        <w:rPr>
          <w:rFonts w:ascii="Calibri" w:hAnsi="Calibri"/>
          <w:color w:val="525866"/>
          <w:sz w:val="22"/>
        </w:rPr>
        <w:t xml:space="preserve"> (+5.5% NTM EV/EBITDA expansion over 1 month) rather than estimate-driven, suggesting the market is re-rating the stock on improved confidence in the growth narrative rather than on upward EPS revisions. The stock has outperformed XLI (+7.2%) but underperformed on a 12-month basis (−8.7% vs. XLI), reflecting the lingering discount from the Q4 2025 growth deceleration narrative.</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VLTO vs. XLI vs. S&amp;P 500 — Indexed to 100 at Q1 2026 Earnings (April 28, 2026). Source: Yahoo Finance / Stock Price Data.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Period</w:t>
            </w:r>
          </w:p>
        </w:tc>
        <w:tc>
          <w:tcPr>
            <w:tcW w:type="dxa" w:w="1728"/>
            <w:shd w:val="clear" w:color="auto" w:fill="3B4259"/>
          </w:tcPr>
          <w:p>
            <w:r>
              <w:rPr>
                <w:rFonts w:ascii="Calibri" w:hAnsi="Calibri"/>
                <w:b/>
                <w:color w:val="FFFFFF"/>
                <w:sz w:val="22"/>
              </w:rPr>
              <w:t>VLTO Price Change</w:t>
            </w:r>
          </w:p>
        </w:tc>
        <w:tc>
          <w:tcPr>
            <w:tcW w:type="dxa" w:w="1728"/>
            <w:shd w:val="clear" w:color="auto" w:fill="3B4259"/>
          </w:tcPr>
          <w:p>
            <w:r>
              <w:rPr>
                <w:rFonts w:ascii="Calibri" w:hAnsi="Calibri"/>
                <w:b/>
                <w:color w:val="FFFFFF"/>
                <w:sz w:val="22"/>
              </w:rPr>
              <w:t>XLI Change</w:t>
            </w:r>
          </w:p>
        </w:tc>
        <w:tc>
          <w:tcPr>
            <w:tcW w:type="dxa" w:w="1728"/>
            <w:shd w:val="clear" w:color="auto" w:fill="3B4259"/>
          </w:tcPr>
          <w:p>
            <w:r>
              <w:rPr>
                <w:rFonts w:ascii="Calibri" w:hAnsi="Calibri"/>
                <w:b/>
                <w:color w:val="FFFFFF"/>
                <w:sz w:val="22"/>
              </w:rPr>
              <w:t>S&amp;P 500 Change</w:t>
            </w:r>
          </w:p>
        </w:tc>
        <w:tc>
          <w:tcPr>
            <w:tcW w:type="dxa" w:w="1728"/>
            <w:shd w:val="clear" w:color="auto" w:fill="3B4259"/>
          </w:tcPr>
          <w:p>
            <w:r>
              <w:rPr>
                <w:rFonts w:ascii="Calibri" w:hAnsi="Calibri"/>
                <w:b/>
                <w:color w:val="FFFFFF"/>
                <w:sz w:val="22"/>
              </w:rPr>
              <w:t>VLTO vs. XLI (Relative)</w:t>
            </w:r>
          </w:p>
        </w:tc>
      </w:tr>
      <w:tr>
        <w:tc>
          <w:tcPr>
            <w:tcW w:type="dxa" w:w="1728"/>
          </w:tcPr>
          <w:p>
            <w:r>
              <w:rPr>
                <w:rFonts w:ascii="Calibri" w:hAnsi="Calibri"/>
                <w:sz w:val="22"/>
              </w:rPr>
              <w:t>Since Q1 Earnings (Apr 28 → Jul 28)</w:t>
            </w:r>
          </w:p>
        </w:tc>
        <w:tc>
          <w:tcPr>
            <w:tcW w:type="dxa" w:w="1728"/>
          </w:tcPr>
          <w:p>
            <w:r>
              <w:rPr>
                <w:rFonts w:ascii="Calibri" w:hAnsi="Calibri"/>
                <w:sz w:val="22"/>
              </w:rPr>
              <w:t>+10.1% ($85.60 → $94.28)</w:t>
            </w:r>
          </w:p>
        </w:tc>
        <w:tc>
          <w:tcPr>
            <w:tcW w:type="dxa" w:w="1728"/>
          </w:tcPr>
          <w:p>
            <w:r>
              <w:rPr>
                <w:rFonts w:ascii="Calibri" w:hAnsi="Calibri"/>
                <w:sz w:val="22"/>
              </w:rPr>
              <w:t>+7.2%</w:t>
            </w:r>
          </w:p>
        </w:tc>
        <w:tc>
          <w:tcPr>
            <w:tcW w:type="dxa" w:w="1728"/>
          </w:tcPr>
          <w:p>
            <w:r>
              <w:rPr>
                <w:rFonts w:ascii="Calibri" w:hAnsi="Calibri"/>
                <w:sz w:val="22"/>
              </w:rPr>
              <w:t>+3.9%</w:t>
            </w:r>
          </w:p>
        </w:tc>
        <w:tc>
          <w:tcPr>
            <w:tcW w:type="dxa" w:w="1728"/>
          </w:tcPr>
          <w:p>
            <w:r>
              <w:rPr>
                <w:rFonts w:ascii="Calibri" w:hAnsi="Calibri"/>
                <w:sz w:val="22"/>
              </w:rPr>
              <w:t>+2.9 pp outperformance</w:t>
            </w:r>
          </w:p>
        </w:tc>
      </w:tr>
      <w:tr>
        <w:tc>
          <w:tcPr>
            <w:tcW w:type="dxa" w:w="1728"/>
          </w:tcPr>
          <w:p>
            <w:r>
              <w:rPr>
                <w:rFonts w:ascii="Calibri" w:hAnsi="Calibri"/>
                <w:sz w:val="22"/>
              </w:rPr>
              <w:t>1 Month (Jun 28 → Jul 28)</w:t>
            </w:r>
          </w:p>
        </w:tc>
        <w:tc>
          <w:tcPr>
            <w:tcW w:type="dxa" w:w="1728"/>
          </w:tcPr>
          <w:p>
            <w:r>
              <w:rPr>
                <w:rFonts w:ascii="Calibri" w:hAnsi="Calibri"/>
                <w:sz w:val="22"/>
              </w:rPr>
              <w:t>+6.3% ($88.68 → $94.28)</w:t>
            </w:r>
          </w:p>
        </w:tc>
        <w:tc>
          <w:tcPr>
            <w:tcW w:type="dxa" w:w="1728"/>
          </w:tcPr>
          <w:p>
            <w:r>
              <w:rPr>
                <w:rFonts w:ascii="Calibri" w:hAnsi="Calibri"/>
                <w:sz w:val="22"/>
              </w:rPr>
              <w:t>+1.1%</w:t>
            </w:r>
          </w:p>
        </w:tc>
        <w:tc>
          <w:tcPr>
            <w:tcW w:type="dxa" w:w="1728"/>
          </w:tcPr>
          <w:p>
            <w:r>
              <w:rPr>
                <w:rFonts w:ascii="Calibri" w:hAnsi="Calibri"/>
                <w:sz w:val="22"/>
              </w:rPr>
              <w:t>−1.0%</w:t>
            </w:r>
          </w:p>
        </w:tc>
        <w:tc>
          <w:tcPr>
            <w:tcW w:type="dxa" w:w="1728"/>
          </w:tcPr>
          <w:p>
            <w:r>
              <w:rPr>
                <w:rFonts w:ascii="Calibri" w:hAnsi="Calibri"/>
                <w:sz w:val="22"/>
              </w:rPr>
              <w:t>+5.2 pp outperformance</w:t>
            </w:r>
          </w:p>
        </w:tc>
      </w:tr>
      <w:tr>
        <w:tc>
          <w:tcPr>
            <w:tcW w:type="dxa" w:w="1728"/>
          </w:tcPr>
          <w:p>
            <w:r>
              <w:rPr>
                <w:rFonts w:ascii="Calibri" w:hAnsi="Calibri"/>
                <w:sz w:val="22"/>
              </w:rPr>
              <w:t>3 Month (Apr 28 → Jul 28)</w:t>
            </w:r>
          </w:p>
        </w:tc>
        <w:tc>
          <w:tcPr>
            <w:tcW w:type="dxa" w:w="1728"/>
          </w:tcPr>
          <w:p>
            <w:r>
              <w:rPr>
                <w:rFonts w:ascii="Calibri" w:hAnsi="Calibri"/>
                <w:sz w:val="22"/>
              </w:rPr>
              <w:t>+10.1%</w:t>
            </w:r>
          </w:p>
        </w:tc>
        <w:tc>
          <w:tcPr>
            <w:tcW w:type="dxa" w:w="1728"/>
          </w:tcPr>
          <w:p>
            <w:r>
              <w:rPr>
                <w:rFonts w:ascii="Calibri" w:hAnsi="Calibri"/>
                <w:sz w:val="22"/>
              </w:rPr>
              <w:t>+7.2%</w:t>
            </w:r>
          </w:p>
        </w:tc>
        <w:tc>
          <w:tcPr>
            <w:tcW w:type="dxa" w:w="1728"/>
          </w:tcPr>
          <w:p>
            <w:r>
              <w:rPr>
                <w:rFonts w:ascii="Calibri" w:hAnsi="Calibri"/>
                <w:sz w:val="22"/>
              </w:rPr>
              <w:t>+3.9%</w:t>
            </w:r>
          </w:p>
        </w:tc>
        <w:tc>
          <w:tcPr>
            <w:tcW w:type="dxa" w:w="1728"/>
          </w:tcPr>
          <w:p>
            <w:r>
              <w:rPr>
                <w:rFonts w:ascii="Calibri" w:hAnsi="Calibri"/>
                <w:sz w:val="22"/>
              </w:rPr>
              <w:t>+2.9 pp outperformance</w:t>
            </w:r>
          </w:p>
        </w:tc>
      </w:tr>
      <w:tr>
        <w:tc>
          <w:tcPr>
            <w:tcW w:type="dxa" w:w="1728"/>
          </w:tcPr>
          <w:p>
            <w:r>
              <w:rPr>
                <w:rFonts w:ascii="Calibri" w:hAnsi="Calibri"/>
                <w:sz w:val="22"/>
              </w:rPr>
              <w:t>12 Month (Jul 28, 2025 → Jul 28, 2026)</w:t>
            </w:r>
          </w:p>
        </w:tc>
        <w:tc>
          <w:tcPr>
            <w:tcW w:type="dxa" w:w="1728"/>
          </w:tcPr>
          <w:p>
            <w:r>
              <w:rPr>
                <w:rFonts w:ascii="Calibri" w:hAnsi="Calibri"/>
                <w:sz w:val="22"/>
              </w:rPr>
              <w:t>−8.7% (approx.)</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Underperformer on 12M basis</w:t>
            </w:r>
          </w:p>
        </w:tc>
      </w:tr>
    </w:tbl>
    <w:p>
      <w:r>
        <w:rPr>
          <w:rFonts w:ascii="Calibri" w:hAnsi="Calibri"/>
          <w:b/>
          <w:color w:val="525866"/>
          <w:sz w:val="22"/>
        </w:rPr>
        <w:t xml:space="preserve">Key events since Q1 earnings: </w:t>
      </w:r>
      <w:r>
        <w:rPr>
          <w:rFonts w:ascii="Calibri" w:hAnsi="Calibri"/>
          <w:i/>
          <w:color w:val="525866"/>
          <w:sz w:val="22"/>
        </w:rPr>
        <w:t>(1) Q1 2026 earnings beat + guidance raise (Apr 28–29) drove the initial +4.5% gap-up; (2) stock drifted lower through May–early June as broader market uncertainty weighed; (3) recovery accelerated in late June–July as industrial sentiment improved; (4) DHR’s Q2 print on July 21 caused a brief pullback (−3.2% on July 21) before recovering. Current NTM EV/EBITDA of ~15.3x remains well below the 12-month-ago level of ~18.8x, suggesting the multiple re-rating story is not complete.</w:t>
      </w:r>
    </w:p>
    <w:p>
      <w:r>
        <w:rPr>
          <w:rFonts w:ascii="Calibri" w:hAnsi="Calibri"/>
          <w:i/>
          <w:color w:val="525866"/>
          <w:sz w:val="22"/>
        </w:rPr>
        <w:t>Source: Yahoo Finance / Stock Price Data. Sector ETF: XLI (iShares U.S. Industrials ETF), appropriate for VLTO’s industrial/environmental technology sub-sector.</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w:t>
      </w:r>
      <w:r>
        <w:rPr>
          <w:rFonts w:ascii="Calibri" w:hAnsi="Calibri"/>
          <w:b/>
          <w:color w:val="525866"/>
          <w:sz w:val="22"/>
        </w:rPr>
        <w:t>Danaher’s Q2 2026 print (July 21)</w:t>
      </w:r>
      <w:r>
        <w:rPr>
          <w:rFonts w:ascii="Calibri" w:hAnsi="Calibri"/>
          <w:color w:val="525866"/>
          <w:sz w:val="22"/>
        </w:rPr>
        <w:t xml:space="preserve"> — DHR beat on Q2 EPS/revenue but guided Q3 core revenue growth of only 2%–3%, which sent its stock down ~11% and raised questions about the pace of industrial/water-adjacent end-market recovery that could create a read-through headwind for VLTO’s PQI segment commentary.</w:t>
      </w:r>
    </w:p>
    <w:p>
      <w:pPr>
        <w:pStyle w:val="ListBullet"/>
        <w:ind w:left="360" w:hanging="360"/>
      </w:pPr>
      <w:r>
        <w:rPr>
          <w:rFonts w:ascii="Calibri" w:hAnsi="Calibri"/>
          <w:b/>
          <w:color w:val="525866"/>
          <w:sz w:val="22"/>
        </w:rPr>
        <w:t xml:space="preserve">July 21, 2026 — Danaher (DHR) Q2 2026 Earnings: </w:t>
      </w:r>
      <w:r>
        <w:rPr>
          <w:rFonts w:ascii="Calibri" w:hAnsi="Calibri"/>
          <w:color w:val="525866"/>
          <w:sz w:val="22"/>
        </w:rPr>
        <w:t xml:space="preserve">DHR reported Q2 EPS of $1.94 (beat vs. $1.84 consensus) and revenue of $6.26B (beat vs. $6.1B consensus), and raised full-year EPS guidance to $8.45–$8.60. However, Q3 core revenue guidance of 2%–3% fell well short of expectations, sending DHR stock down ~11% in its worst day since 2001. Morgan Stanley called the results “underwhelming,” characterizing the move as reflecting “the stop-start nature of sector optimism.” </w:t>
      </w:r>
    </w:p>
    <w:p>
      <w:pPr>
        <w:pStyle w:val="ListBullet"/>
        <w:ind w:left="360" w:hanging="360"/>
      </w:pPr>
      <w:r>
        <w:rPr>
          <w:rFonts w:ascii="Calibri" w:hAnsi="Calibri"/>
          <w:b/>
          <w:color w:val="525866"/>
          <w:sz w:val="22"/>
        </w:rPr>
        <w:t xml:space="preserve">Implication for VLTO: </w:t>
      </w:r>
      <w:r>
        <w:rPr>
          <w:rFonts w:ascii="Calibri" w:hAnsi="Calibri"/>
          <w:color w:val="525866"/>
          <w:sz w:val="22"/>
        </w:rPr>
        <w:t>DHR’s Q3 guidance miss raises the risk that industrial/water-adjacent end-market recovery is slower than expected. VLTO’s PQI segment (marking/coding, packaging) has some overlap with DHR’s industrial end markets. However, VLTO’s Water Quality segment (municipal water, CPG) is more insulated. Watch for management commentary on whether DHR’s cautious tone is consistent with VLTO’s own demand signals.</w:t>
      </w:r>
    </w:p>
    <w:p>
      <w:pPr>
        <w:pStyle w:val="ListBullet"/>
        <w:ind w:left="360" w:hanging="360"/>
      </w:pPr>
      <w:r>
        <w:rPr>
          <w:rFonts w:ascii="Calibri" w:hAnsi="Calibri"/>
          <w:b/>
          <w:color w:val="525866"/>
          <w:sz w:val="22"/>
        </w:rPr>
        <w:t xml:space="preserve">July 20, 2026 — Zurn Elkay (ZWS) Acquires Intellihot: </w:t>
      </w:r>
      <w:r>
        <w:rPr>
          <w:rFonts w:ascii="Calibri" w:hAnsi="Calibri"/>
          <w:color w:val="525866"/>
          <w:sz w:val="22"/>
        </w:rPr>
        <w:t xml:space="preserve">Zurn Elkay announced the acquisition of Intellihot, a tankless water heater provider, signaling continued M&amp;A activity in the water solutions space. </w:t>
      </w:r>
    </w:p>
    <w:p>
      <w:pPr>
        <w:pStyle w:val="ListBullet"/>
        <w:ind w:left="360" w:hanging="360"/>
      </w:pPr>
      <w:r>
        <w:rPr>
          <w:rFonts w:ascii="Calibri" w:hAnsi="Calibri"/>
          <w:b/>
          <w:color w:val="525866"/>
          <w:sz w:val="22"/>
        </w:rPr>
        <w:t xml:space="preserve">Implication for VLTO: </w:t>
      </w:r>
      <w:r>
        <w:rPr>
          <w:rFonts w:ascii="Calibri" w:hAnsi="Calibri"/>
          <w:color w:val="525866"/>
          <w:sz w:val="22"/>
        </w:rPr>
        <w:t>Confirms active M&amp;A environment in water technology; consistent with VLTO’s own M&amp;A strategy (In-Situ, GlobalVision acquisitions in 2026). No direct competitive impact.</w:t>
      </w:r>
    </w:p>
    <w:p>
      <w:pPr>
        <w:pStyle w:val="ListBullet"/>
        <w:ind w:left="360" w:hanging="360"/>
      </w:pPr>
      <w:r>
        <w:rPr>
          <w:rFonts w:ascii="Calibri" w:hAnsi="Calibri"/>
          <w:b/>
          <w:color w:val="525866"/>
          <w:sz w:val="22"/>
        </w:rPr>
        <w:t xml:space="preserve">July 17, 2026 — VLTO CEO Jennifer Honeycutt Sells $674K in Stock: </w:t>
      </w:r>
      <w:r>
        <w:rPr>
          <w:rFonts w:ascii="Calibri" w:hAnsi="Calibri"/>
          <w:color w:val="525866"/>
          <w:sz w:val="22"/>
        </w:rPr>
        <w:t>CEO Jennifer Honeycutt sold 7,097 shares ($674,215) on July 17, 2026, under a pre-planned 10b5-1 plan established February 25, 2026. This is a planned sale, not a discretionary transaction.</w:t>
      </w:r>
    </w:p>
    <w:p>
      <w:pPr>
        <w:pStyle w:val="ListBullet"/>
        <w:ind w:left="360" w:hanging="360"/>
      </w:pPr>
      <w:r>
        <w:rPr>
          <w:rFonts w:ascii="Calibri" w:hAnsi="Calibri"/>
          <w:b/>
          <w:color w:val="525866"/>
          <w:sz w:val="22"/>
        </w:rPr>
        <w:t xml:space="preserve">July 13, 2026 — VLTO Schedules Q2 2026 Earnings Call: </w:t>
      </w:r>
      <w:r>
        <w:rPr>
          <w:rFonts w:ascii="Calibri" w:hAnsi="Calibri"/>
          <w:color w:val="525866"/>
          <w:sz w:val="22"/>
        </w:rPr>
        <w:t>Veralto confirmed Q2 2026 earnings call for July 29, 2026 at 7:30 AM ET. No new guidance or material disclosures in the announcement.</w:t>
      </w:r>
    </w:p>
    <w:p>
      <w:pPr>
        <w:pStyle w:val="ListBullet"/>
        <w:ind w:left="360" w:hanging="360"/>
      </w:pPr>
      <w:r>
        <w:rPr>
          <w:rFonts w:ascii="Calibri" w:hAnsi="Calibri"/>
          <w:b/>
          <w:color w:val="525866"/>
          <w:sz w:val="22"/>
        </w:rPr>
        <w:t xml:space="preserve">May 14, 2026 — VLTO Annual Meeting: </w:t>
      </w:r>
      <w:r>
        <w:rPr>
          <w:rFonts w:ascii="Calibri" w:hAnsi="Calibri"/>
          <w:color w:val="525866"/>
          <w:sz w:val="22"/>
        </w:rPr>
        <w:t>Shareholders approved all proposals and elected directors at the annual meeting. Routine governance event; no material impact on outlook.</w:t>
      </w:r>
    </w:p>
    <w:p>
      <w:pPr>
        <w:pStyle w:val="ListBullet"/>
        <w:ind w:left="360" w:hanging="360"/>
      </w:pPr>
      <w:r>
        <w:rPr>
          <w:rFonts w:ascii="Calibri" w:hAnsi="Calibri"/>
          <w:b/>
          <w:color w:val="525866"/>
          <w:sz w:val="22"/>
        </w:rPr>
        <w:t xml:space="preserve">April 28–29, 2026 — Q1 2026 Earnings Beat + Guidance Raise: </w:t>
      </w:r>
      <w:r>
        <w:rPr>
          <w:rFonts w:ascii="Calibri" w:hAnsi="Calibri"/>
          <w:color w:val="525866"/>
          <w:sz w:val="22"/>
        </w:rPr>
        <w:t>VLTO reported Q1 adj. EPS of $1.07 (beat vs. ~$1.01 consensus), total sales of $1,422M (+6.7% YoY), and raised FY 2026 adj. EPS guidance to $4.20–$4.28 (from $4.10–$4.20). Announced new cost optimization program ($85–$105M charge, $65–$75M annual savings by 2028). Completed ~$1B in capital allocation YTD (In-Situ + GlobalVision acquisitions + $300M share repurchases). Stock rose sharply on the day.</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No notable insider buying. The only transactions since Q1 earnings are a </w:t>
      </w:r>
      <w:r>
        <w:rPr>
          <w:rFonts w:ascii="Calibri" w:hAnsi="Calibri"/>
          <w:b/>
          <w:color w:val="525866"/>
          <w:sz w:val="22"/>
        </w:rPr>
        <w:t>pre-planned 10b5-1 CEO sale</w:t>
      </w:r>
      <w:r>
        <w:rPr>
          <w:rFonts w:ascii="Calibri" w:hAnsi="Calibri"/>
          <w:color w:val="525866"/>
          <w:sz w:val="22"/>
        </w:rPr>
        <w:t xml:space="preserve"> (established February 2026, well before Q2 results) and a small discretionary sale by the Chief Accounting Officer in May. Neither signals negative conviction — the CEO sale is obligation-driven and the CAO sale is immaterial in size.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Jennifer Honeycutt</w:t>
            </w:r>
          </w:p>
        </w:tc>
        <w:tc>
          <w:tcPr>
            <w:tcW w:type="dxa" w:w="1440"/>
          </w:tcPr>
          <w:p>
            <w:r>
              <w:rPr>
                <w:rFonts w:ascii="Calibri" w:hAnsi="Calibri"/>
                <w:sz w:val="22"/>
              </w:rPr>
              <w:t>President &amp; CEO, Director</w:t>
            </w:r>
          </w:p>
        </w:tc>
        <w:tc>
          <w:tcPr>
            <w:tcW w:type="dxa" w:w="1440"/>
          </w:tcPr>
          <w:p>
            <w:r>
              <w:rPr>
                <w:rFonts w:ascii="Calibri" w:hAnsi="Calibri"/>
                <w:sz w:val="22"/>
              </w:rPr>
              <w:t>10b5-1 Planned Sale</w:t>
            </w:r>
          </w:p>
        </w:tc>
        <w:tc>
          <w:tcPr>
            <w:tcW w:type="dxa" w:w="1440"/>
          </w:tcPr>
          <w:p>
            <w:r>
              <w:rPr>
                <w:rFonts w:ascii="Calibri" w:hAnsi="Calibri"/>
                <w:sz w:val="22"/>
              </w:rPr>
              <w:t>$674,215 (7,097 shares)</w:t>
            </w:r>
          </w:p>
        </w:tc>
        <w:tc>
          <w:tcPr>
            <w:tcW w:type="dxa" w:w="1440"/>
          </w:tcPr>
          <w:p>
            <w:r>
              <w:rPr>
                <w:rFonts w:ascii="Calibri" w:hAnsi="Calibri"/>
                <w:sz w:val="22"/>
              </w:rPr>
              <w:t>July 17, 2026</w:t>
            </w:r>
          </w:p>
        </w:tc>
        <w:tc>
          <w:tcPr>
            <w:tcW w:type="dxa" w:w="1440"/>
          </w:tcPr>
          <w:p>
            <w:r>
              <w:rPr>
                <w:rFonts w:ascii="Calibri" w:hAnsi="Calibri"/>
                <w:sz w:val="22"/>
              </w:rPr>
              <w:t>Pre-planned sale under 10b5-1 plan established Feb 25, 2026; not discretionary; represents ~5% of holdings</w:t>
            </w:r>
          </w:p>
        </w:tc>
      </w:tr>
      <w:tr>
        <w:tc>
          <w:tcPr>
            <w:tcW w:type="dxa" w:w="1440"/>
          </w:tcPr>
          <w:p>
            <w:r>
              <w:rPr>
                <w:rFonts w:ascii="Calibri" w:hAnsi="Calibri"/>
                <w:sz w:val="22"/>
              </w:rPr>
              <w:t>Bernard M. Skeete</w:t>
            </w:r>
          </w:p>
        </w:tc>
        <w:tc>
          <w:tcPr>
            <w:tcW w:type="dxa" w:w="1440"/>
          </w:tcPr>
          <w:p>
            <w:r>
              <w:rPr>
                <w:rFonts w:ascii="Calibri" w:hAnsi="Calibri"/>
                <w:sz w:val="22"/>
              </w:rPr>
              <w:t>Chief Accounting Officer</w:t>
            </w:r>
          </w:p>
        </w:tc>
        <w:tc>
          <w:tcPr>
            <w:tcW w:type="dxa" w:w="1440"/>
          </w:tcPr>
          <w:p>
            <w:r>
              <w:rPr>
                <w:rFonts w:ascii="Calibri" w:hAnsi="Calibri"/>
                <w:sz w:val="22"/>
              </w:rPr>
              <w:t>Open Market Sale</w:t>
            </w:r>
          </w:p>
        </w:tc>
        <w:tc>
          <w:tcPr>
            <w:tcW w:type="dxa" w:w="1440"/>
          </w:tcPr>
          <w:p>
            <w:r>
              <w:rPr>
                <w:rFonts w:ascii="Calibri" w:hAnsi="Calibri"/>
                <w:sz w:val="22"/>
              </w:rPr>
              <w:t>~$26,000 (300 shares at ~$87)</w:t>
            </w:r>
          </w:p>
        </w:tc>
        <w:tc>
          <w:tcPr>
            <w:tcW w:type="dxa" w:w="1440"/>
          </w:tcPr>
          <w:p>
            <w:r>
              <w:rPr>
                <w:rFonts w:ascii="Calibri" w:hAnsi="Calibri"/>
                <w:sz w:val="22"/>
              </w:rPr>
              <w:t>May 1, 2026</w:t>
            </w:r>
          </w:p>
        </w:tc>
        <w:tc>
          <w:tcPr>
            <w:tcW w:type="dxa" w:w="1440"/>
          </w:tcPr>
          <w:p>
            <w:r>
              <w:rPr>
                <w:rFonts w:ascii="Calibri" w:hAnsi="Calibri"/>
                <w:sz w:val="22"/>
              </w:rPr>
              <w:t>Small discretionary sale; immaterial in size; no 10b5-1 plan noted</w:t>
            </w:r>
          </w:p>
        </w:tc>
      </w:tr>
    </w:tbl>
    <w:p>
      <w:r>
        <w:rPr>
          <w:rFonts w:ascii="Calibri" w:hAnsi="Calibri"/>
          <w:i/>
          <w:color w:val="525866"/>
          <w:sz w:val="22"/>
        </w:rPr>
        <w:t>Source: SEC Form 4 Filings Database; Form 144 filing (Honeycutt, July 17, 2026); Form 4 filing (Skeete, May 5, 2026).</w:t>
      </w:r>
    </w:p>
    <w:p>
      <w:r>
        <w:br w:type="page"/>
      </w:r>
    </w:p>
    <w:p>
      <w:pPr>
        <w:pStyle w:val="Heading2"/>
      </w:pPr>
      <w:r>
        <w:rPr>
          <w:rFonts w:ascii="Calibri" w:hAnsi="Calibri"/>
          <w:b/>
          <w:color w:val="3B4259"/>
          <w:sz w:val="28"/>
        </w:rPr>
        <w:t>8. Peer Commentary &amp; Read-Through</w:t>
      </w:r>
    </w:p>
    <w:p>
      <w:r>
        <w:rPr>
          <w:rFonts w:ascii="Calibri" w:hAnsi="Calibri"/>
          <w:b/>
          <w:color w:val="525866"/>
          <w:sz w:val="22"/>
        </w:rPr>
        <w:t xml:space="preserve">Key Takeaway: </w:t>
      </w:r>
      <w:r>
        <w:rPr>
          <w:rFonts w:ascii="Calibri" w:hAnsi="Calibri"/>
          <w:color w:val="525866"/>
          <w:sz w:val="22"/>
        </w:rPr>
        <w:t xml:space="preserve">The most actionable peer read-through is </w:t>
      </w:r>
      <w:r>
        <w:rPr>
          <w:rFonts w:ascii="Calibri" w:hAnsi="Calibri"/>
          <w:b/>
          <w:color w:val="525866"/>
          <w:sz w:val="22"/>
        </w:rPr>
        <w:t>Danaher’s Q2 2026 print (July 21)</w:t>
      </w:r>
      <w:r>
        <w:rPr>
          <w:rFonts w:ascii="Calibri" w:hAnsi="Calibri"/>
          <w:color w:val="525866"/>
          <w:sz w:val="22"/>
        </w:rPr>
        <w:t xml:space="preserve"> — DHR’s disappointing Q3 core revenue guidance (2%–3%) is a potential headwind for VLTO’s PQI industrial end-market commentary, but VLTO’s Water Quality segment (municipal/CPG-focused) is more insulated. All commentary below is from the last 60 days and addresses the current reporting quarter (Q2 2026) or forward outlook — not prior-quarter results.</w:t>
      </w:r>
    </w:p>
    <w:p>
      <w:r>
        <w:rPr>
          <w:rFonts w:ascii="Calibri" w:hAnsi="Calibri"/>
          <w:b/>
          <w:color w:val="525866"/>
          <w:sz w:val="22"/>
        </w:rPr>
        <w:t xml:space="preserve">Note on Peer Selection: </w:t>
      </w:r>
      <w:r>
        <w:rPr>
          <w:rFonts w:ascii="Calibri" w:hAnsi="Calibri"/>
          <w:i/>
          <w:color w:val="525866"/>
          <w:sz w:val="22"/>
        </w:rPr>
        <w:t>VLTO’s most relevant peers for read-through purposes are companies with exposure to (1) water quality/treatment (DHR’s water businesses, Xylem, Ecolab), (2) industrial marking/coding and packaging (PQI segment), and (3) mission-critical recurring revenue industrial technology. DHR is the highest-quality read-through given its direct overlap in water analytics and industrial technology end markets.</w:t>
      </w:r>
    </w:p>
    <w:p>
      <w:pPr>
        <w:pStyle w:val="Heading3"/>
      </w:pPr>
      <w:r>
        <w:rPr>
          <w:rFonts w:ascii="Calibri" w:hAnsi="Calibri"/>
          <w:b/>
          <w:color w:val="3B4259"/>
          <w:sz w:val="24"/>
        </w:rPr>
        <w:t>Danaher (DHR) — Q2 2026 Earnings (Reported July 21, 2026)</w:t>
      </w:r>
    </w:p>
    <w:p>
      <w:r>
        <w:rPr>
          <w:rFonts w:ascii="Calibri" w:hAnsi="Calibri"/>
          <w:b/>
          <w:color w:val="525866"/>
          <w:sz w:val="22"/>
        </w:rPr>
        <w:t xml:space="preserve">Relevance to VLTO: </w:t>
      </w:r>
      <w:r>
        <w:rPr>
          <w:rFonts w:ascii="Calibri" w:hAnsi="Calibri"/>
          <w:color w:val="525866"/>
          <w:sz w:val="22"/>
        </w:rPr>
        <w:t>HIGH. DHR is VLTO’s closest peer in water analytics and industrial technology. DHR’s Pall filtration business (water/semiconductor/industrial) and environmental testing businesses overlap directly with VLTO’s Water Quality segment. DHR’s industrial end-market commentary is the most direct read-through available for VLTO’s Q2 print.</w:t>
      </w:r>
    </w:p>
    <w:p>
      <w:pPr>
        <w:pStyle w:val="ListBullet"/>
        <w:ind w:left="360" w:hanging="360"/>
      </w:pPr>
      <w:r>
        <w:rPr>
          <w:rFonts w:ascii="Calibri" w:hAnsi="Calibri"/>
          <w:b/>
          <w:color w:val="525866"/>
          <w:sz w:val="22"/>
        </w:rPr>
        <w:t xml:space="preserve">Q2 2026 Results (Beat on EPS and Revenue): </w:t>
      </w:r>
      <w:r>
        <w:rPr>
          <w:rFonts w:ascii="Calibri" w:hAnsi="Calibri"/>
          <w:color w:val="525866"/>
          <w:sz w:val="22"/>
        </w:rPr>
        <w:t xml:space="preserve">DHR reported Q2 EPS of $1.94 (beat vs. $1.84 consensus) and revenue of $6.26B (beat vs. $6.1B consensus), with adjusted operating margins of 27.1% (beat vs. 26.6% consensus). Full-year EPS guidance raised to $8.45–$8.60 (from $8.35–$8.55). </w:t>
      </w:r>
    </w:p>
    <w:p>
      <w:pPr>
        <w:pStyle w:val="ListBullet"/>
        <w:ind w:left="360" w:hanging="360"/>
      </w:pPr>
      <w:r>
        <w:rPr>
          <w:rFonts w:ascii="Calibri" w:hAnsi="Calibri"/>
          <w:b/>
          <w:color w:val="525866"/>
          <w:sz w:val="22"/>
        </w:rPr>
        <w:t xml:space="preserve">VLTO Read-Through: </w:t>
      </w:r>
      <w:r>
        <w:rPr>
          <w:rFonts w:ascii="Calibri" w:hAnsi="Calibri"/>
          <w:color w:val="525866"/>
          <w:sz w:val="22"/>
        </w:rPr>
        <w:t>Positive for Q2 — DHR’s Q2 beat suggests industrial/water-adjacent demand held up better than feared in the quarter. This is consistent with VLTO’s own Q2 guidance of 3%–4% core growth being achievable.</w:t>
      </w:r>
    </w:p>
    <w:p>
      <w:pPr>
        <w:pStyle w:val="ListBullet"/>
        <w:ind w:left="360" w:hanging="360"/>
      </w:pPr>
      <w:r>
        <w:rPr>
          <w:rFonts w:ascii="Calibri" w:hAnsi="Calibri"/>
          <w:b/>
          <w:color w:val="525866"/>
          <w:sz w:val="22"/>
        </w:rPr>
        <w:t xml:space="preserve">Q3 2026 Core Revenue Guidance (KEY NEGATIVE): </w:t>
      </w:r>
      <w:r>
        <w:rPr>
          <w:rFonts w:ascii="Calibri" w:hAnsi="Calibri"/>
          <w:color w:val="525866"/>
          <w:sz w:val="22"/>
        </w:rPr>
        <w:t xml:space="preserve">DHR guided Q3 core revenue growth of only 2%–3%, well below Street expectations. CEO Rainer Blair noted the company expects to “exit 2026 at a mid-single-digit core revenue growth rate,” implying a back-half acceleration, but Q3 itself is a step-down. Morgan Stanley called the guidance “underwhelming” and characterized the stock move as reflecting “the stop-start nature of sector optimism.” RBC highlighted the guidance as “mixed and not consistent with a broader re-acceleration narrative.” </w:t>
      </w:r>
    </w:p>
    <w:p>
      <w:pPr>
        <w:pStyle w:val="ListBullet"/>
        <w:ind w:left="360" w:hanging="360"/>
      </w:pPr>
      <w:r>
        <w:rPr>
          <w:rFonts w:ascii="Calibri" w:hAnsi="Calibri"/>
          <w:b/>
          <w:color w:val="525866"/>
          <w:sz w:val="22"/>
        </w:rPr>
        <w:t xml:space="preserve">VLTO Read-Through: </w:t>
      </w:r>
      <w:r>
        <w:rPr>
          <w:rFonts w:ascii="Calibri" w:hAnsi="Calibri"/>
          <w:color w:val="525866"/>
          <w:sz w:val="22"/>
        </w:rPr>
        <w:t>Cautionary for VLTO’s Q3 outlook commentary. If DHR’s industrial end markets are decelerating in Q3, VLTO’s PQI segment (which serves discrete industrial end markets including automotive, textiles, building materials) could face similar headwinds. However, VLTO’s Water Quality segment (municipal water, CPG) is more insulated from this dynamic. Watch for VLTO management’s Q3 guidance range — if they guide below 3.5% core growth, it would be consistent with DHR’s cautious tone.</w:t>
      </w:r>
    </w:p>
    <w:p>
      <w:pPr>
        <w:pStyle w:val="ListBullet"/>
        <w:ind w:left="360" w:hanging="360"/>
      </w:pPr>
      <w:r>
        <w:rPr>
          <w:rFonts w:ascii="Calibri" w:hAnsi="Calibri"/>
          <w:b/>
          <w:color w:val="525866"/>
          <w:sz w:val="22"/>
        </w:rPr>
        <w:t xml:space="preserve">Pall Applied Filtration (Water/Semiconductor): </w:t>
      </w:r>
      <w:r>
        <w:rPr>
          <w:rFonts w:ascii="Calibri" w:hAnsi="Calibri"/>
          <w:color w:val="525866"/>
          <w:sz w:val="22"/>
        </w:rPr>
        <w:t xml:space="preserve">DHR’s Pall applied filtration business grew ~10% in Q2, led by microelectronics (semiconductor manufacturing). DHR noted this growth is expected to “moderate a bit in Q3” due to timing dynamics. </w:t>
      </w:r>
    </w:p>
    <w:p>
      <w:pPr>
        <w:pStyle w:val="ListBullet"/>
        <w:ind w:left="360" w:hanging="360"/>
      </w:pPr>
      <w:r>
        <w:rPr>
          <w:rFonts w:ascii="Calibri" w:hAnsi="Calibri"/>
          <w:b/>
          <w:color w:val="525866"/>
          <w:sz w:val="22"/>
        </w:rPr>
        <w:t xml:space="preserve">VLTO Read-Through: </w:t>
      </w:r>
      <w:r>
        <w:rPr>
          <w:rFonts w:ascii="Calibri" w:hAnsi="Calibri"/>
          <w:color w:val="525866"/>
          <w:sz w:val="22"/>
        </w:rPr>
        <w:t>Positive for VLTO’s Water Quality data center/semiconductor exposure. VLTO management highlighted “mid- to high single-digit growth” in industrial water (data centers, semiconductor, power, mining) on the Q1 call. DHR’s Pall strength in Q2 is consistent with this thesis, though the Q3 moderation is a watch item.</w:t>
      </w:r>
    </w:p>
    <w:p>
      <w:pPr>
        <w:pStyle w:val="ListBullet"/>
        <w:ind w:left="360" w:hanging="360"/>
      </w:pPr>
      <w:r>
        <w:rPr>
          <w:rFonts w:ascii="Calibri" w:hAnsi="Calibri"/>
          <w:b/>
          <w:color w:val="525866"/>
          <w:sz w:val="22"/>
        </w:rPr>
        <w:t xml:space="preserve">Recurring Revenue Model Validation: </w:t>
      </w:r>
      <w:r>
        <w:rPr>
          <w:rFonts w:ascii="Calibri" w:hAnsi="Calibri"/>
          <w:color w:val="525866"/>
          <w:sz w:val="22"/>
        </w:rPr>
        <w:t xml:space="preserve">DHR announced the acquisition of StatLab (anatomic pathology consumables) with &gt;85% recurring revenue, expected to grow high single digits long-term. DHR CEO highlighted the “attractive business model” of high recurring revenue businesses. </w:t>
      </w:r>
    </w:p>
    <w:p>
      <w:pPr>
        <w:pStyle w:val="ListBullet"/>
        <w:ind w:left="360" w:hanging="360"/>
      </w:pPr>
      <w:r>
        <w:rPr>
          <w:rFonts w:ascii="Calibri" w:hAnsi="Calibri"/>
          <w:b/>
          <w:color w:val="525866"/>
          <w:sz w:val="22"/>
        </w:rPr>
        <w:t xml:space="preserve">VLTO Read-Through: </w:t>
      </w:r>
      <w:r>
        <w:rPr>
          <w:rFonts w:ascii="Calibri" w:hAnsi="Calibri"/>
          <w:color w:val="525866"/>
          <w:sz w:val="22"/>
        </w:rPr>
        <w:t>Positive for VLTO’s valuation narrative. VLTO’s ~60% recurring revenue mix is a key differentiator, and DHR’s willingness to pay a premium for high-recurring-revenue businesses validates the multiple premium that VLTO’s model deserves.</w:t>
      </w:r>
    </w:p>
    <w:p>
      <w:pPr>
        <w:pStyle w:val="ListBullet"/>
        <w:ind w:left="360" w:hanging="360"/>
      </w:pPr>
      <w:r>
        <w:rPr>
          <w:rFonts w:ascii="Calibri" w:hAnsi="Calibri"/>
          <w:b/>
          <w:color w:val="525866"/>
          <w:sz w:val="22"/>
        </w:rPr>
        <w:t xml:space="preserve">Tariff Refund Accounting Change: </w:t>
      </w:r>
      <w:r>
        <w:rPr>
          <w:rFonts w:ascii="Calibri" w:hAnsi="Calibri"/>
          <w:color w:val="525866"/>
          <w:sz w:val="22"/>
        </w:rPr>
        <w:t xml:space="preserve">DHR announced it will exclude tariff refunds from core sales measures beginning Q3 2026, to “help investors better understand underlying growth trends.” </w:t>
      </w:r>
    </w:p>
    <w:p>
      <w:pPr>
        <w:pStyle w:val="ListBullet"/>
        <w:ind w:left="360" w:hanging="360"/>
      </w:pPr>
      <w:r>
        <w:rPr>
          <w:rFonts w:ascii="Calibri" w:hAnsi="Calibri"/>
          <w:b/>
          <w:color w:val="525866"/>
          <w:sz w:val="22"/>
        </w:rPr>
        <w:t xml:space="preserve">VLTO Read-Through: </w:t>
      </w:r>
      <w:r>
        <w:rPr>
          <w:rFonts w:ascii="Calibri" w:hAnsi="Calibri"/>
          <w:color w:val="525866"/>
          <w:sz w:val="22"/>
        </w:rPr>
        <w:t>Watch for whether VLTO makes similar disclosures. VLTO management noted on the Q1 call that prior-year tariff pricing actions are expected to “roll over” in H2 2026, which could create a similar accounting/comparability issue.</w:t>
      </w:r>
    </w:p>
    <w:p>
      <w:pPr>
        <w:pStyle w:val="Heading3"/>
      </w:pPr>
      <w:r>
        <w:rPr>
          <w:rFonts w:ascii="Calibri" w:hAnsi="Calibri"/>
          <w:b/>
          <w:color w:val="3B4259"/>
          <w:sz w:val="24"/>
        </w:rPr>
        <w:t>Xylem (XYL) — Q2 2026 Earnings Scheduled July 28, 2026</w:t>
      </w:r>
    </w:p>
    <w:p>
      <w:r>
        <w:rPr>
          <w:rFonts w:ascii="Calibri" w:hAnsi="Calibri"/>
          <w:b/>
          <w:color w:val="525866"/>
          <w:sz w:val="22"/>
        </w:rPr>
        <w:t xml:space="preserve">Relevance to VLTO: </w:t>
      </w:r>
      <w:r>
        <w:rPr>
          <w:rFonts w:ascii="Calibri" w:hAnsi="Calibri"/>
          <w:color w:val="525866"/>
          <w:sz w:val="22"/>
        </w:rPr>
        <w:t>MEDIUM-HIGH. Xylem is a direct peer in water technology and treatment, with significant exposure to municipal water infrastructure — the same end market as VLTO’s Water Quality segment (Hach, Trojan UV, ChemTreat). XYL’s Q2 results (reporting same day as this preview) will be the most timely read-through available.</w:t>
      </w:r>
    </w:p>
    <w:p>
      <w:pPr>
        <w:pStyle w:val="ListBullet"/>
        <w:ind w:left="360" w:hanging="360"/>
      </w:pPr>
      <w:r>
        <w:rPr>
          <w:rFonts w:ascii="Calibri" w:hAnsi="Calibri"/>
          <w:b/>
          <w:color w:val="525866"/>
          <w:sz w:val="22"/>
        </w:rPr>
        <w:t xml:space="preserve">Status: </w:t>
      </w:r>
      <w:r>
        <w:rPr>
          <w:rFonts w:ascii="Calibri" w:hAnsi="Calibri"/>
          <w:color w:val="525866"/>
          <w:sz w:val="22"/>
        </w:rPr>
        <w:t>XYL is scheduled to report Q2 2026 results on July 28, 2026 (same day as this preview). Results not yet available at time of writing.</w:t>
      </w:r>
    </w:p>
    <w:p>
      <w:pPr>
        <w:pStyle w:val="ListBullet"/>
        <w:ind w:left="360" w:hanging="360"/>
      </w:pPr>
      <w:r>
        <w:rPr>
          <w:rFonts w:ascii="Calibri" w:hAnsi="Calibri"/>
          <w:b/>
          <w:color w:val="525866"/>
          <w:sz w:val="22"/>
        </w:rPr>
        <w:t xml:space="preserve">What to Watch: </w:t>
      </w:r>
      <w:r>
        <w:rPr>
          <w:rFonts w:ascii="Calibri" w:hAnsi="Calibri"/>
          <w:color w:val="525866"/>
          <w:sz w:val="22"/>
        </w:rPr>
        <w:t>XYL’s commentary on municipal water spending, utility capex cycles, and demand for water analytics/treatment will be directly relevant to VLTO’s Water Quality segment. Any commentary on pricing power, recurring revenue trends, or geographic demand (particularly U.S. municipal and international) will be a direct read-through.</w:t>
      </w:r>
    </w:p>
    <w:p>
      <w:pPr>
        <w:pStyle w:val="ListBullet"/>
        <w:ind w:left="360" w:hanging="360"/>
      </w:pPr>
      <w:r>
        <w:rPr>
          <w:rFonts w:ascii="Calibri" w:hAnsi="Calibri"/>
          <w:b/>
          <w:color w:val="525866"/>
          <w:sz w:val="22"/>
        </w:rPr>
        <w:t xml:space="preserve">VLTO Read-Through: </w:t>
      </w:r>
      <w:r>
        <w:rPr>
          <w:rFonts w:ascii="Calibri" w:hAnsi="Calibri"/>
          <w:color w:val="525866"/>
          <w:sz w:val="22"/>
        </w:rPr>
        <w:t>If XYL reports strong municipal water demand and reaffirms its growth outlook, it would be a positive setup for VLTO’s Water Quality segment. Conversely, any softness in municipal spending or utility capex would be a headwind.</w:t>
      </w:r>
    </w:p>
    <w:p>
      <w:pPr>
        <w:pStyle w:val="Heading3"/>
      </w:pPr>
      <w:r>
        <w:rPr>
          <w:rFonts w:ascii="Calibri" w:hAnsi="Calibri"/>
          <w:b/>
          <w:color w:val="3B4259"/>
          <w:sz w:val="24"/>
        </w:rPr>
        <w:t>Ecolab (ECL) — Q2 2026 Earnings Scheduled July 28, 2026</w:t>
      </w:r>
    </w:p>
    <w:p>
      <w:r>
        <w:rPr>
          <w:rFonts w:ascii="Calibri" w:hAnsi="Calibri"/>
          <w:b/>
          <w:color w:val="525866"/>
          <w:sz w:val="22"/>
        </w:rPr>
        <w:t xml:space="preserve">Relevance to VLTO: </w:t>
      </w:r>
      <w:r>
        <w:rPr>
          <w:rFonts w:ascii="Calibri" w:hAnsi="Calibri"/>
          <w:color w:val="525866"/>
          <w:sz w:val="22"/>
        </w:rPr>
        <w:t>MEDIUM. Ecolab serves similar end markets to VLTO’s Water Quality segment (industrial water treatment, food safety, CPG) and its ChemTreat business competes directly with ECL in industrial water treatment chemicals. ECL’s commentary on CPG customer demand, pricing, and industrial water treatment will be a relevant read-through.</w:t>
      </w:r>
    </w:p>
    <w:p>
      <w:pPr>
        <w:pStyle w:val="ListBullet"/>
        <w:ind w:left="360" w:hanging="360"/>
      </w:pPr>
      <w:r>
        <w:rPr>
          <w:rFonts w:ascii="Calibri" w:hAnsi="Calibri"/>
          <w:b/>
          <w:color w:val="525866"/>
          <w:sz w:val="22"/>
        </w:rPr>
        <w:t xml:space="preserve">Status: </w:t>
      </w:r>
      <w:r>
        <w:rPr>
          <w:rFonts w:ascii="Calibri" w:hAnsi="Calibri"/>
          <w:color w:val="525866"/>
          <w:sz w:val="22"/>
        </w:rPr>
        <w:t>ECL is scheduled to report Q2 2026 results on July 28, 2026. Results not yet available at time of writing.</w:t>
      </w:r>
    </w:p>
    <w:p>
      <w:pPr>
        <w:pStyle w:val="ListBullet"/>
        <w:ind w:left="360" w:hanging="360"/>
      </w:pPr>
      <w:r>
        <w:rPr>
          <w:rFonts w:ascii="Calibri" w:hAnsi="Calibri"/>
          <w:b/>
          <w:color w:val="525866"/>
          <w:sz w:val="22"/>
        </w:rPr>
        <w:t xml:space="preserve">What to Watch: </w:t>
      </w:r>
      <w:r>
        <w:rPr>
          <w:rFonts w:ascii="Calibri" w:hAnsi="Calibri"/>
          <w:color w:val="525866"/>
          <w:sz w:val="22"/>
        </w:rPr>
        <w:t>ECL’s commentary on CPG customer demand (food &amp; beverage, consumer products) and industrial water treatment pricing will be directly relevant to VLTO’s ChemTreat business and Water Quality segment broadly. Any commentary on tariff impacts on chemical inputs will also be relevant given VLTO’s Q1 commentary on ChemTreat chemical cost headwinds.</w:t>
      </w:r>
    </w:p>
    <w:p>
      <w:pPr>
        <w:pStyle w:val="ListBullet"/>
        <w:ind w:left="360" w:hanging="360"/>
      </w:pPr>
      <w:r>
        <w:rPr>
          <w:rFonts w:ascii="Calibri" w:hAnsi="Calibri"/>
          <w:b/>
          <w:color w:val="525866"/>
          <w:sz w:val="22"/>
        </w:rPr>
        <w:t xml:space="preserve">VLTO Read-Through: </w:t>
      </w:r>
      <w:r>
        <w:rPr>
          <w:rFonts w:ascii="Calibri" w:hAnsi="Calibri"/>
          <w:color w:val="525866"/>
          <w:sz w:val="22"/>
        </w:rPr>
        <w:t>Strong CPG demand from ECL would be a positive read-through for VLTO’s Water Quality segment. ECL’s pricing commentary will also be relevant — VLTO guided pricing at the “high end” of its 100–200 bps range for 2026.</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Relevance to VLTO</w:t>
            </w:r>
          </w:p>
        </w:tc>
        <w:tc>
          <w:tcPr>
            <w:tcW w:type="dxa" w:w="1728"/>
            <w:shd w:val="clear" w:color="auto" w:fill="3B4259"/>
          </w:tcPr>
          <w:p>
            <w:r>
              <w:rPr>
                <w:rFonts w:ascii="Calibri" w:hAnsi="Calibri"/>
                <w:b/>
                <w:color w:val="FFFFFF"/>
                <w:sz w:val="22"/>
              </w:rPr>
              <w:t>Key Signal</w:t>
            </w:r>
          </w:p>
        </w:tc>
        <w:tc>
          <w:tcPr>
            <w:tcW w:type="dxa" w:w="1728"/>
            <w:shd w:val="clear" w:color="auto" w:fill="3B4259"/>
          </w:tcPr>
          <w:p>
            <w:r>
              <w:rPr>
                <w:rFonts w:ascii="Calibri" w:hAnsi="Calibri"/>
                <w:b/>
                <w:color w:val="FFFFFF"/>
                <w:sz w:val="22"/>
              </w:rPr>
              <w:t>Direction for VLTO</w:t>
            </w:r>
          </w:p>
        </w:tc>
      </w:tr>
      <w:tr>
        <w:tc>
          <w:tcPr>
            <w:tcW w:type="dxa" w:w="1728"/>
          </w:tcPr>
          <w:p>
            <w:r>
              <w:rPr>
                <w:rFonts w:ascii="Calibri" w:hAnsi="Calibri"/>
                <w:sz w:val="22"/>
              </w:rPr>
              <w:t>Danaher (DHR)</w:t>
            </w:r>
          </w:p>
        </w:tc>
        <w:tc>
          <w:tcPr>
            <w:tcW w:type="dxa" w:w="1728"/>
          </w:tcPr>
          <w:p>
            <w:r>
              <w:rPr>
                <w:rFonts w:ascii="Calibri" w:hAnsi="Calibri"/>
                <w:sz w:val="22"/>
              </w:rPr>
              <w:t>July 21, 2026 (Reported)</w:t>
            </w:r>
          </w:p>
        </w:tc>
        <w:tc>
          <w:tcPr>
            <w:tcW w:type="dxa" w:w="1728"/>
          </w:tcPr>
          <w:p>
            <w:r>
              <w:rPr>
                <w:rFonts w:ascii="Calibri" w:hAnsi="Calibri"/>
                <w:sz w:val="22"/>
              </w:rPr>
              <w:t>HIGH — Water analytics, industrial technology, recurring revenue</w:t>
            </w:r>
          </w:p>
        </w:tc>
        <w:tc>
          <w:tcPr>
            <w:tcW w:type="dxa" w:w="1728"/>
          </w:tcPr>
          <w:p>
            <w:r>
              <w:rPr>
                <w:rFonts w:ascii="Calibri" w:hAnsi="Calibri"/>
                <w:sz w:val="22"/>
              </w:rPr>
              <w:t>Q2 beat but Q3 core revenue guidance (2%–3%) well below expectations; industrial end-market recovery “stop-start”</w:t>
            </w:r>
          </w:p>
        </w:tc>
        <w:tc>
          <w:tcPr>
            <w:tcW w:type="dxa" w:w="1728"/>
          </w:tcPr>
          <w:p>
            <w:r>
              <w:rPr>
                <w:rFonts w:ascii="Calibri" w:hAnsi="Calibri"/>
                <w:b/>
                <w:sz w:val="22"/>
              </w:rPr>
              <w:t>Mixed</w:t>
            </w:r>
            <w:r>
              <w:rPr>
                <w:rFonts w:ascii="Calibri" w:hAnsi="Calibri"/>
                <w:sz w:val="22"/>
              </w:rPr>
              <w:t xml:space="preserve"> — Q2 positive, Q3 outlook cautionary for PQI</w:t>
            </w:r>
          </w:p>
        </w:tc>
      </w:tr>
      <w:tr>
        <w:tc>
          <w:tcPr>
            <w:tcW w:type="dxa" w:w="1728"/>
          </w:tcPr>
          <w:p>
            <w:r>
              <w:rPr>
                <w:rFonts w:ascii="Calibri" w:hAnsi="Calibri"/>
                <w:sz w:val="22"/>
              </w:rPr>
              <w:t>Xylem (XYL)</w:t>
            </w:r>
          </w:p>
        </w:tc>
        <w:tc>
          <w:tcPr>
            <w:tcW w:type="dxa" w:w="1728"/>
          </w:tcPr>
          <w:p>
            <w:r>
              <w:rPr>
                <w:rFonts w:ascii="Calibri" w:hAnsi="Calibri"/>
                <w:sz w:val="22"/>
              </w:rPr>
              <w:t>July 28, 2026 (Same Day)</w:t>
            </w:r>
          </w:p>
        </w:tc>
        <w:tc>
          <w:tcPr>
            <w:tcW w:type="dxa" w:w="1728"/>
          </w:tcPr>
          <w:p>
            <w:r>
              <w:rPr>
                <w:rFonts w:ascii="Calibri" w:hAnsi="Calibri"/>
                <w:sz w:val="22"/>
              </w:rPr>
              <w:t>HIGH — Municipal water, water treatment, water analytics</w:t>
            </w:r>
          </w:p>
        </w:tc>
        <w:tc>
          <w:tcPr>
            <w:tcW w:type="dxa" w:w="1728"/>
          </w:tcPr>
          <w:p>
            <w:r>
              <w:rPr>
                <w:rFonts w:ascii="Calibri" w:hAnsi="Calibri"/>
                <w:sz w:val="22"/>
              </w:rPr>
              <w:t>Results not yet available; watch for municipal water demand and utility capex commentary</w:t>
            </w:r>
          </w:p>
        </w:tc>
        <w:tc>
          <w:tcPr>
            <w:tcW w:type="dxa" w:w="1728"/>
          </w:tcPr>
          <w:p>
            <w:r>
              <w:rPr>
                <w:rFonts w:ascii="Calibri" w:hAnsi="Calibri"/>
                <w:sz w:val="22"/>
              </w:rPr>
              <w:t>Pending</w:t>
            </w:r>
          </w:p>
        </w:tc>
      </w:tr>
      <w:tr>
        <w:tc>
          <w:tcPr>
            <w:tcW w:type="dxa" w:w="1728"/>
          </w:tcPr>
          <w:p>
            <w:r>
              <w:rPr>
                <w:rFonts w:ascii="Calibri" w:hAnsi="Calibri"/>
                <w:sz w:val="22"/>
              </w:rPr>
              <w:t>Ecolab (ECL)</w:t>
            </w:r>
          </w:p>
        </w:tc>
        <w:tc>
          <w:tcPr>
            <w:tcW w:type="dxa" w:w="1728"/>
          </w:tcPr>
          <w:p>
            <w:r>
              <w:rPr>
                <w:rFonts w:ascii="Calibri" w:hAnsi="Calibri"/>
                <w:sz w:val="22"/>
              </w:rPr>
              <w:t>July 28, 2026 (Same Day)</w:t>
            </w:r>
          </w:p>
        </w:tc>
        <w:tc>
          <w:tcPr>
            <w:tcW w:type="dxa" w:w="1728"/>
          </w:tcPr>
          <w:p>
            <w:r>
              <w:rPr>
                <w:rFonts w:ascii="Calibri" w:hAnsi="Calibri"/>
                <w:sz w:val="22"/>
              </w:rPr>
              <w:t>MEDIUM — CPG water treatment, industrial water chemicals (ChemTreat overlap)</w:t>
            </w:r>
          </w:p>
        </w:tc>
        <w:tc>
          <w:tcPr>
            <w:tcW w:type="dxa" w:w="1728"/>
          </w:tcPr>
          <w:p>
            <w:r>
              <w:rPr>
                <w:rFonts w:ascii="Calibri" w:hAnsi="Calibri"/>
                <w:sz w:val="22"/>
              </w:rPr>
              <w:t>Results not yet available; watch for CPG demand and chemical pricing commentary</w:t>
            </w:r>
          </w:p>
        </w:tc>
        <w:tc>
          <w:tcPr>
            <w:tcW w:type="dxa" w:w="1728"/>
          </w:tcPr>
          <w:p>
            <w:r>
              <w:rPr>
                <w:rFonts w:ascii="Calibri" w:hAnsi="Calibri"/>
                <w:sz w:val="22"/>
              </w:rPr>
              <w:t>Pending</w:t>
            </w:r>
          </w:p>
        </w:tc>
      </w:tr>
      <w:tr>
        <w:tc>
          <w:tcPr>
            <w:tcW w:type="dxa" w:w="1728"/>
          </w:tcPr>
          <w:p>
            <w:r>
              <w:rPr>
                <w:rFonts w:ascii="Calibri" w:hAnsi="Calibri"/>
                <w:sz w:val="22"/>
              </w:rPr>
              <w:t>IDEX Corp (IEX)</w:t>
            </w:r>
          </w:p>
        </w:tc>
        <w:tc>
          <w:tcPr>
            <w:tcW w:type="dxa" w:w="1728"/>
          </w:tcPr>
          <w:p>
            <w:r>
              <w:rPr>
                <w:rFonts w:ascii="Calibri" w:hAnsi="Calibri"/>
                <w:sz w:val="22"/>
              </w:rPr>
              <w:t>Scheduled ~late July 2026</w:t>
            </w:r>
          </w:p>
        </w:tc>
        <w:tc>
          <w:tcPr>
            <w:tcW w:type="dxa" w:w="1728"/>
          </w:tcPr>
          <w:p>
            <w:r>
              <w:rPr>
                <w:rFonts w:ascii="Calibri" w:hAnsi="Calibri"/>
                <w:sz w:val="22"/>
              </w:rPr>
              <w:t>MEDIUM — Industrial fluid handling, mission-critical applications</w:t>
            </w:r>
          </w:p>
        </w:tc>
        <w:tc>
          <w:tcPr>
            <w:tcW w:type="dxa" w:w="1728"/>
          </w:tcPr>
          <w:p>
            <w:r>
              <w:rPr>
                <w:rFonts w:ascii="Calibri" w:hAnsi="Calibri"/>
                <w:sz w:val="22"/>
              </w:rPr>
              <w:t>Results not yet available; watch for industrial demand and pricing commentary</w:t>
            </w:r>
          </w:p>
        </w:tc>
        <w:tc>
          <w:tcPr>
            <w:tcW w:type="dxa" w:w="1728"/>
          </w:tcPr>
          <w:p>
            <w:r>
              <w:rPr>
                <w:rFonts w:ascii="Calibri" w:hAnsi="Calibri"/>
                <w:sz w:val="22"/>
              </w:rPr>
              <w:t>Pending</w:t>
            </w:r>
          </w:p>
        </w:tc>
      </w:tr>
    </w:tbl>
    <w:p>
      <w:r>
        <w:rPr>
          <w:rFonts w:ascii="Calibri" w:hAnsi="Calibri"/>
          <w:i/>
          <w:color w:val="525866"/>
          <w:sz w:val="22"/>
        </w:rPr>
        <w:t>Source: DHR Q2 2026 Earnings Call Transcript and Press Release (July 20–21, 2026); XYL, ECL, IEX earnings schedules from corporate event database. All peer commentary is from the last 60 days and addresses Q2 2026 current-quarter performance or forward outlook only.</w:t>
      </w:r>
    </w:p>
    <w:p>
      <w:r>
        <w:br w:type="page"/>
      </w:r>
    </w:p>
    <w:p>
      <w:pPr>
        <w:pStyle w:val="Heading2"/>
      </w:pPr>
      <w:r>
        <w:rPr>
          <w:rFonts w:ascii="Calibri" w:hAnsi="Calibri"/>
          <w:b/>
          <w:color w:val="3B4259"/>
          <w:sz w:val="28"/>
        </w:rPr>
        <w:t>Appendix: Key Valuation Context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Current (NTM)</w:t>
            </w:r>
          </w:p>
        </w:tc>
        <w:tc>
          <w:tcPr>
            <w:tcW w:type="dxa" w:w="1728"/>
            <w:shd w:val="clear" w:color="auto" w:fill="3B4259"/>
          </w:tcPr>
          <w:p>
            <w:r>
              <w:rPr>
                <w:rFonts w:ascii="Calibri" w:hAnsi="Calibri"/>
                <w:b/>
                <w:color w:val="FFFFFF"/>
                <w:sz w:val="22"/>
              </w:rPr>
              <w:t>1 Month Ago</w:t>
            </w:r>
          </w:p>
        </w:tc>
        <w:tc>
          <w:tcPr>
            <w:tcW w:type="dxa" w:w="1728"/>
            <w:shd w:val="clear" w:color="auto" w:fill="3B4259"/>
          </w:tcPr>
          <w:p>
            <w:r>
              <w:rPr>
                <w:rFonts w:ascii="Calibri" w:hAnsi="Calibri"/>
                <w:b/>
                <w:color w:val="FFFFFF"/>
                <w:sz w:val="22"/>
              </w:rPr>
              <w:t>3 Months Ago</w:t>
            </w:r>
          </w:p>
        </w:tc>
        <w:tc>
          <w:tcPr>
            <w:tcW w:type="dxa" w:w="1728"/>
            <w:shd w:val="clear" w:color="auto" w:fill="3B4259"/>
          </w:tcPr>
          <w:p>
            <w:r>
              <w:rPr>
                <w:rFonts w:ascii="Calibri" w:hAnsi="Calibri"/>
                <w:b/>
                <w:color w:val="FFFFFF"/>
                <w:sz w:val="22"/>
              </w:rPr>
              <w:t>12 Months Ago</w:t>
            </w:r>
          </w:p>
        </w:tc>
      </w:tr>
      <w:tr>
        <w:tc>
          <w:tcPr>
            <w:tcW w:type="dxa" w:w="1728"/>
          </w:tcPr>
          <w:p>
            <w:r>
              <w:rPr>
                <w:rFonts w:ascii="Calibri" w:hAnsi="Calibri"/>
                <w:sz w:val="22"/>
              </w:rPr>
              <w:t>NTM EV/EBITDA</w:t>
            </w:r>
          </w:p>
        </w:tc>
        <w:tc>
          <w:tcPr>
            <w:tcW w:type="dxa" w:w="1728"/>
          </w:tcPr>
          <w:p>
            <w:r>
              <w:rPr>
                <w:rFonts w:ascii="Calibri" w:hAnsi="Calibri"/>
                <w:sz w:val="22"/>
              </w:rPr>
              <w:t>15.3x</w:t>
            </w:r>
          </w:p>
        </w:tc>
        <w:tc>
          <w:tcPr>
            <w:tcW w:type="dxa" w:w="1728"/>
          </w:tcPr>
          <w:p>
            <w:r>
              <w:rPr>
                <w:rFonts w:ascii="Calibri" w:hAnsi="Calibri"/>
                <w:sz w:val="22"/>
              </w:rPr>
              <w:t>14.5x</w:t>
            </w:r>
          </w:p>
        </w:tc>
        <w:tc>
          <w:tcPr>
            <w:tcW w:type="dxa" w:w="1728"/>
          </w:tcPr>
          <w:p>
            <w:r>
              <w:rPr>
                <w:rFonts w:ascii="Calibri" w:hAnsi="Calibri"/>
                <w:sz w:val="22"/>
              </w:rPr>
              <w:t>14.9x</w:t>
            </w:r>
          </w:p>
        </w:tc>
        <w:tc>
          <w:tcPr>
            <w:tcW w:type="dxa" w:w="1728"/>
          </w:tcPr>
          <w:p>
            <w:r>
              <w:rPr>
                <w:rFonts w:ascii="Calibri" w:hAnsi="Calibri"/>
                <w:sz w:val="22"/>
              </w:rPr>
              <w:t>18.8x</w:t>
            </w:r>
          </w:p>
        </w:tc>
      </w:tr>
      <w:tr>
        <w:tc>
          <w:tcPr>
            <w:tcW w:type="dxa" w:w="1728"/>
          </w:tcPr>
          <w:p>
            <w:r>
              <w:rPr>
                <w:rFonts w:ascii="Calibri" w:hAnsi="Calibri"/>
                <w:sz w:val="22"/>
              </w:rPr>
              <w:t>NTM P/E</w:t>
            </w:r>
          </w:p>
        </w:tc>
        <w:tc>
          <w:tcPr>
            <w:tcW w:type="dxa" w:w="1728"/>
          </w:tcPr>
          <w:p>
            <w:r>
              <w:rPr>
                <w:rFonts w:ascii="Calibri" w:hAnsi="Calibri"/>
                <w:sz w:val="22"/>
              </w:rPr>
              <w:t>20.5x</w:t>
            </w:r>
          </w:p>
        </w:tc>
        <w:tc>
          <w:tcPr>
            <w:tcW w:type="dxa" w:w="1728"/>
          </w:tcPr>
          <w:p>
            <w:r>
              <w:rPr>
                <w:rFonts w:ascii="Calibri" w:hAnsi="Calibri"/>
                <w:sz w:val="22"/>
              </w:rPr>
              <w:t>19.4x</w:t>
            </w:r>
          </w:p>
        </w:tc>
        <w:tc>
          <w:tcPr>
            <w:tcW w:type="dxa" w:w="1728"/>
          </w:tcPr>
          <w:p>
            <w:r>
              <w:rPr>
                <w:rFonts w:ascii="Calibri" w:hAnsi="Calibri"/>
                <w:sz w:val="22"/>
              </w:rPr>
              <w:t>20.6x</w:t>
            </w:r>
          </w:p>
        </w:tc>
        <w:tc>
          <w:tcPr>
            <w:tcW w:type="dxa" w:w="1728"/>
          </w:tcPr>
          <w:p>
            <w:r>
              <w:rPr>
                <w:rFonts w:ascii="Calibri" w:hAnsi="Calibri"/>
                <w:sz w:val="22"/>
              </w:rPr>
              <w:t>26.3x</w:t>
            </w:r>
          </w:p>
        </w:tc>
      </w:tr>
      <w:tr>
        <w:tc>
          <w:tcPr>
            <w:tcW w:type="dxa" w:w="1728"/>
          </w:tcPr>
          <w:p>
            <w:r>
              <w:rPr>
                <w:rFonts w:ascii="Calibri" w:hAnsi="Calibri"/>
                <w:sz w:val="22"/>
              </w:rPr>
              <w:t>NTM EV/Sales</w:t>
            </w:r>
          </w:p>
        </w:tc>
        <w:tc>
          <w:tcPr>
            <w:tcW w:type="dxa" w:w="1728"/>
          </w:tcPr>
          <w:p>
            <w:r>
              <w:rPr>
                <w:rFonts w:ascii="Calibri" w:hAnsi="Calibri"/>
                <w:sz w:val="22"/>
              </w:rPr>
              <w:t>3.9x</w:t>
            </w:r>
          </w:p>
        </w:tc>
        <w:tc>
          <w:tcPr>
            <w:tcW w:type="dxa" w:w="1728"/>
          </w:tcPr>
          <w:p>
            <w:r>
              <w:rPr>
                <w:rFonts w:ascii="Calibri" w:hAnsi="Calibri"/>
                <w:sz w:val="22"/>
              </w:rPr>
              <w:t>3.7x</w:t>
            </w:r>
          </w:p>
        </w:tc>
        <w:tc>
          <w:tcPr>
            <w:tcW w:type="dxa" w:w="1728"/>
          </w:tcPr>
          <w:p>
            <w:r>
              <w:rPr>
                <w:rFonts w:ascii="Calibri" w:hAnsi="Calibri"/>
                <w:sz w:val="22"/>
              </w:rPr>
              <w:t>3.8x</w:t>
            </w:r>
          </w:p>
        </w:tc>
        <w:tc>
          <w:tcPr>
            <w:tcW w:type="dxa" w:w="1728"/>
          </w:tcPr>
          <w:p>
            <w:r>
              <w:rPr>
                <w:rFonts w:ascii="Calibri" w:hAnsi="Calibri"/>
                <w:sz w:val="22"/>
              </w:rPr>
              <w:t>4.8x</w:t>
            </w:r>
          </w:p>
        </w:tc>
      </w:tr>
      <w:tr>
        <w:tc>
          <w:tcPr>
            <w:tcW w:type="dxa" w:w="1728"/>
          </w:tcPr>
          <w:p>
            <w:r>
              <w:rPr>
                <w:rFonts w:ascii="Calibri" w:hAnsi="Calibri"/>
                <w:sz w:val="22"/>
              </w:rPr>
              <w:t>NTM P/FCF</w:t>
            </w:r>
          </w:p>
        </w:tc>
        <w:tc>
          <w:tcPr>
            <w:tcW w:type="dxa" w:w="1728"/>
          </w:tcPr>
          <w:p>
            <w:r>
              <w:rPr>
                <w:rFonts w:ascii="Calibri" w:hAnsi="Calibri"/>
                <w:sz w:val="22"/>
              </w:rPr>
              <w:t>20.6x</w:t>
            </w:r>
          </w:p>
        </w:tc>
        <w:tc>
          <w:tcPr>
            <w:tcW w:type="dxa" w:w="1728"/>
          </w:tcPr>
          <w:p>
            <w:r>
              <w:rPr>
                <w:rFonts w:ascii="Calibri" w:hAnsi="Calibri"/>
                <w:sz w:val="22"/>
              </w:rPr>
              <w:t>19.6x</w:t>
            </w:r>
          </w:p>
        </w:tc>
        <w:tc>
          <w:tcPr>
            <w:tcW w:type="dxa" w:w="1728"/>
          </w:tcPr>
          <w:p>
            <w:r>
              <w:rPr>
                <w:rFonts w:ascii="Calibri" w:hAnsi="Calibri"/>
                <w:sz w:val="22"/>
              </w:rPr>
              <w:t>20.7x</w:t>
            </w:r>
          </w:p>
        </w:tc>
        <w:tc>
          <w:tcPr>
            <w:tcW w:type="dxa" w:w="1728"/>
          </w:tcPr>
          <w:p>
            <w:r>
              <w:rPr>
                <w:rFonts w:ascii="Calibri" w:hAnsi="Calibri"/>
                <w:sz w:val="22"/>
              </w:rPr>
              <w:t>27.0x</w:t>
            </w:r>
          </w:p>
        </w:tc>
      </w:tr>
      <w:tr>
        <w:tc>
          <w:tcPr>
            <w:tcW w:type="dxa" w:w="1728"/>
          </w:tcPr>
          <w:p>
            <w:r>
              <w:rPr>
                <w:rFonts w:ascii="Calibri" w:hAnsi="Calibri"/>
                <w:sz w:val="22"/>
              </w:rPr>
              <w:t>Stock Price</w:t>
            </w:r>
          </w:p>
        </w:tc>
        <w:tc>
          <w:tcPr>
            <w:tcW w:type="dxa" w:w="1728"/>
          </w:tcPr>
          <w:p>
            <w:r>
              <w:rPr>
                <w:rFonts w:ascii="Calibri" w:hAnsi="Calibri"/>
                <w:sz w:val="22"/>
              </w:rPr>
              <w:t>$94.28</w:t>
            </w:r>
          </w:p>
        </w:tc>
        <w:tc>
          <w:tcPr>
            <w:tcW w:type="dxa" w:w="1728"/>
          </w:tcPr>
          <w:p>
            <w:r>
              <w:rPr>
                <w:rFonts w:ascii="Calibri" w:hAnsi="Calibri"/>
                <w:sz w:val="22"/>
              </w:rPr>
              <w:t>~$88.68</w:t>
            </w:r>
          </w:p>
        </w:tc>
        <w:tc>
          <w:tcPr>
            <w:tcW w:type="dxa" w:w="1728"/>
          </w:tcPr>
          <w:p>
            <w:r>
              <w:rPr>
                <w:rFonts w:ascii="Calibri" w:hAnsi="Calibri"/>
                <w:sz w:val="22"/>
              </w:rPr>
              <w:t>~$88.24</w:t>
            </w:r>
          </w:p>
        </w:tc>
        <w:tc>
          <w:tcPr>
            <w:tcW w:type="dxa" w:w="1728"/>
          </w:tcPr>
          <w:p>
            <w:r>
              <w:rPr>
                <w:rFonts w:ascii="Calibri" w:hAnsi="Calibri"/>
                <w:sz w:val="22"/>
              </w:rPr>
              <w:t>~$103.40 (est.)</w:t>
            </w:r>
          </w:p>
        </w:tc>
      </w:tr>
    </w:tbl>
    <w:p>
      <w:r>
        <w:rPr>
          <w:rFonts w:ascii="Calibri" w:hAnsi="Calibri"/>
          <w:i/>
          <w:color w:val="525866"/>
          <w:sz w:val="22"/>
        </w:rPr>
        <w:t>Source: Stock Performance Decomposition Data (as of July 27, 2026). NTM = Next Twelve Months consensus. Primary valuation metric for VLTO is NTM EV/EBITDA, consistent with industrial technology/environmental services sector convention.</w:t>
      </w:r>
    </w:p>
    <w:p>
      <w:r>
        <w:rPr>
          <w:rFonts w:ascii="Calibri" w:hAnsi="Calibri"/>
          <w:b/>
          <w:color w:val="525866"/>
          <w:sz w:val="22"/>
        </w:rPr>
        <w:t xml:space="preserve">Disclaimer: </w:t>
      </w:r>
      <w:r>
        <w:rPr>
          <w:rFonts w:ascii="Calibri" w:hAnsi="Calibri"/>
          <w:i/>
          <w:color w:val="525866"/>
          <w:sz w:val="22"/>
        </w:rPr>
        <w:t>This earnings preview is prepared for informational purposes only. All consensus estimates are sourced from Visible Alpha as of July 28, 2026. All stock price data sourced from Yahoo Finance. Insider transaction data sourced from SEC Form 4 and Form 144 filings. Peer commentary sourced from publicly available earnings transcripts and press releases. This document does not constitute investment advice.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