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VMC (Vulcan Materials) before writing the preview. Let me pull recent filings, transcripts, and news in parallel.Let me read the most recent quarter's materials and the prior-year comparable quarter.Let me pull the prior-year Q2 (2025Q2) release for the year-over-year comparison baseline.I have what I need. Let me quickly compute a couple of setup figures before writing.I have everything I need. Here's the preview.</w:t>
      </w:r>
    </w:p>
    <w:p>
      <w:r>
        <w:pict>
          <v:rect style="width:0;height:1.5pt" o:hralign="center" o:hrstd="t" o:hr="t"/>
        </w:pict>
      </w:r>
    </w:p>
    <w:bookmarkStart w:id="16" w:name="X98ee532c4ebe858105c6c75cf272fd33131e46c"/>
    <w:p>
      <w:pPr>
        <w:pStyle w:val="Heading1"/>
      </w:pPr>
      <w:r>
        <w:t xml:space="preserve">Vulcan Materials (VMC) — Q2 2026 Earnings Preview</w:t>
      </w:r>
    </w:p>
    <w:bookmarkStart w:id="9" w:name="Xcfc2095bf519e473157f639bd73347fb8395e6e"/>
    <w:p>
      <w:pPr>
        <w:pStyle w:val="Heading3"/>
      </w:pPr>
      <w:r>
        <w:t xml:space="preserve">Reports before market open, Wednesday, July 29, 2026 (quarter ended June 30, 2026)</w:t>
      </w:r>
    </w:p>
    <w:bookmarkEnd w:id="9"/>
    <w:bookmarkStart w:id="10" w:name="the-setup-in-one-paragraph"/>
    <w:p>
      <w:pPr>
        <w:pStyle w:val="Heading2"/>
      </w:pPr>
      <w:r>
        <w:t xml:space="preserve">The setup in one paragraph</w:t>
      </w:r>
    </w:p>
    <w:p>
      <w:pPr>
        <w:pStyle w:val="FirstParagraph"/>
      </w:pPr>
      <w:r>
        <w:t xml:space="preserve">Vulcan enters its most important shipping quarter with strong operating momentum but a well-flagged near-term cost headwind. Q1 2026 delivered</w:t>
      </w:r>
      <w:r>
        <w:t xml:space="preserve"> </w:t>
      </w:r>
      <m:oMath>
        <m:r>
          <m:t>447</m:t>
        </m:r>
        <m:r>
          <m:t>M</m:t>
        </m:r>
        <m:r>
          <m:t>o</m:t>
        </m:r>
        <m:r>
          <m:t>f</m:t>
        </m:r>
        <m:r>
          <m:t>a</m:t>
        </m:r>
        <m:r>
          <m:t>d</m:t>
        </m:r>
        <m:r>
          <m:t>j</m:t>
        </m:r>
        <m:r>
          <m:t>u</m:t>
        </m:r>
        <m:r>
          <m:t>s</m:t>
        </m:r>
        <m:r>
          <m:t>t</m:t>
        </m:r>
        <m:r>
          <m:t>e</m:t>
        </m:r>
        <m:r>
          <m:t>d</m:t>
        </m:r>
        <m:r>
          <m:t>E</m:t>
        </m:r>
        <m:r>
          <m:t>B</m:t>
        </m:r>
        <m:r>
          <m:t>I</m:t>
        </m:r>
        <m:r>
          <m:t>T</m:t>
        </m:r>
        <m:r>
          <m:t>D</m:t>
        </m:r>
        <m:r>
          <m:t>A</m:t>
        </m:r>
        <m:r>
          <m:rPr>
            <m:sty m:val="p"/>
          </m:rPr>
          <m:t>(</m:t>
        </m:r>
        <m:r>
          <m:rPr>
            <m:sty m:val="p"/>
          </m:rPr>
          <m:t>+</m:t>
        </m:r>
        <m:r>
          <m:t>9</m:t>
        </m:r>
      </m:oMath>
      <w:r>
        <w:t xml:space="preserve">2.4–</w:t>
      </w:r>
      <m:oMath>
        <m:r>
          <m:t>2.6</m:t>
        </m:r>
        <m:r>
          <m:t>B</m:t>
        </m:r>
        <m:r>
          <m:rPr>
            <m:sty m:val="p"/>
          </m:rPr>
          <m:t>*</m:t>
        </m:r>
        <m:r>
          <m:rPr>
            <m:sty m:val="p"/>
          </m:rPr>
          <m:t>*</m:t>
        </m:r>
        <m:r>
          <m:rPr>
            <m:sty m:val="p"/>
          </m:rPr>
          <m:t>(</m:t>
        </m:r>
        <m:r>
          <m:t> </m:t>
        </m:r>
      </m:oMath>
      <w:r>
        <w:t xml:space="preserve">2.5B midpoint). The debate for Q2 is not the long-term thesis — it's how much the spring/summer spike in diesel and liquid asphalt costs squeezes margins before mid-year price increases catch up. Management explicitly told investors Q2 is where they "expect to feel the squeeze of the higher diesel most acutely," so this print is more about the cost/price cadence than the durability of the franchise.</w:t>
      </w:r>
    </w:p>
    <w:bookmarkEnd w:id="10"/>
    <w:bookmarkStart w:id="11" w:name="Xff11ae2b92bf7867752945508d4f155b7048d33"/>
    <w:p>
      <w:pPr>
        <w:pStyle w:val="Heading2"/>
      </w:pPr>
      <w:r>
        <w:t xml:space="preserve">Prior-year comparable (Q2 2025) — the bar to clear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2025)</w:t>
            </w:r>
          </w:p>
        </w:tc>
        <w:tc>
          <w:tcPr/>
          <w:p>
            <w:pPr>
              <w:pStyle w:val="Compact"/>
            </w:pPr>
            <w:r>
              <w:t xml:space="preserve">Value</w:t>
            </w:r>
          </w:p>
        </w:tc>
      </w:tr>
      <w:tr>
        <w:tc>
          <w:tcPr/>
          <w:p>
            <w:pPr>
              <w:pStyle w:val="Compact"/>
            </w:pPr>
            <w:r>
              <w:t xml:space="preserve">Total revenue</w:t>
            </w:r>
          </w:p>
        </w:tc>
        <w:tc>
          <w:tcPr/>
          <w:p>
            <w:pPr>
              <w:pStyle w:val="Compact"/>
            </w:pPr>
            <w:r>
              <w:t xml:space="preserve">$2,102M</w:t>
            </w:r>
          </w:p>
        </w:tc>
      </w:tr>
      <w:tr>
        <w:tc>
          <w:tcPr/>
          <w:p>
            <w:pPr>
              <w:pStyle w:val="Compact"/>
            </w:pPr>
            <w:r>
              <w:t xml:space="preserve">Gross profit</w:t>
            </w:r>
          </w:p>
        </w:tc>
        <w:tc>
          <w:tcPr/>
          <w:p>
            <w:pPr>
              <w:pStyle w:val="Compact"/>
            </w:pPr>
            <w:r>
              <w:t xml:space="preserve">$625M</w:t>
            </w:r>
          </w:p>
        </w:tc>
      </w:tr>
      <w:tr>
        <w:tc>
          <w:tcPr/>
          <w:p>
            <w:pPr>
              <w:pStyle w:val="Compact"/>
            </w:pPr>
            <w:r>
              <w:t xml:space="preserve">Adjusted EBITDA</w:t>
            </w:r>
          </w:p>
        </w:tc>
        <w:tc>
          <w:tcPr/>
          <w:p>
            <w:pPr>
              <w:pStyle w:val="Compact"/>
            </w:pPr>
            <w:r>
              <w:t xml:space="preserve">$660M (31.4% margin)</w:t>
            </w:r>
          </w:p>
        </w:tc>
      </w:tr>
      <w:tr>
        <w:tc>
          <w:tcPr/>
          <w:p>
            <w:pPr>
              <w:pStyle w:val="Compact"/>
            </w:pPr>
            <w:r>
              <w:t xml:space="preserve">Adjusted diluted EPS (cont. ops)</w:t>
            </w:r>
          </w:p>
        </w:tc>
        <w:tc>
          <w:tcPr/>
          <w:p>
            <w:pPr>
              <w:pStyle w:val="Compact"/>
            </w:pPr>
            <w:r>
              <w:t xml:space="preserve">$2.45</w:t>
            </w:r>
          </w:p>
        </w:tc>
      </w:tr>
      <w:tr>
        <w:tc>
          <w:tcPr/>
          <w:p>
            <w:pPr>
              <w:pStyle w:val="Compact"/>
            </w:pPr>
            <w:r>
              <w:t xml:space="preserve">Aggregates shipments</w:t>
            </w:r>
          </w:p>
        </w:tc>
        <w:tc>
          <w:tcPr/>
          <w:p>
            <w:pPr>
              <w:pStyle w:val="Compact"/>
            </w:pPr>
            <w:r>
              <w:t xml:space="preserve">59.3M tons (</w:t>
            </w:r>
            <w:r>
              <w:rPr>
                <w:b/>
                <w:bCs/>
              </w:rPr>
              <w:t xml:space="preserve">−1% YoY</w:t>
            </w:r>
            <w:r>
              <w:t xml:space="preserve">, rain-hit)</w:t>
            </w:r>
          </w:p>
        </w:tc>
      </w:tr>
      <w:tr>
        <w:tc>
          <w:tcPr/>
          <w:p>
            <w:pPr>
              <w:pStyle w:val="Compact"/>
            </w:pPr>
            <w:r>
              <w:t xml:space="preserve">Aggregates freight-adj. price</w:t>
            </w:r>
          </w:p>
        </w:tc>
        <w:tc>
          <w:tcPr/>
          <w:p>
            <w:pPr>
              <w:pStyle w:val="Compact"/>
            </w:pPr>
            <w:r>
              <w:t xml:space="preserve">$22.11/ton (+5% reported, +8% mix-adj.)</w:t>
            </w:r>
          </w:p>
        </w:tc>
      </w:tr>
      <w:tr>
        <w:tc>
          <w:tcPr/>
          <w:p>
            <w:pPr>
              <w:pStyle w:val="Compact"/>
            </w:pPr>
            <w:r>
              <w:t xml:space="preserve">Aggregates cash gross profit/ton</w:t>
            </w:r>
          </w:p>
        </w:tc>
        <w:tc>
          <w:tcPr/>
          <w:p>
            <w:pPr>
              <w:pStyle w:val="Compact"/>
            </w:pPr>
            <w:r>
              <w:t xml:space="preserve">$11.88 (+9% YoY)</w:t>
            </w:r>
          </w:p>
        </w:tc>
      </w:tr>
    </w:tbl>
    <w:p>
      <w:pPr>
        <w:pStyle w:val="BodyText"/>
      </w:pPr>
      <w:r>
        <w:t xml:space="preserve">Two things make the comp navigable: (1) Q2 2025 aggregates volume actually</w:t>
      </w:r>
      <w:r>
        <w:t xml:space="preserve"> </w:t>
      </w:r>
      <w:r>
        <w:rPr>
          <w:i/>
          <w:iCs/>
        </w:rPr>
        <w:t xml:space="preserve">fell</w:t>
      </w:r>
      <w:r>
        <w:t xml:space="preserve"> </w:t>
      </w:r>
      <w:r>
        <w:t xml:space="preserve">1% on heavy Southeast rainfall, and management has noted last year's Q2 was seasonally weaker than where the year finished — i.e.,</w:t>
      </w:r>
      <w:r>
        <w:t xml:space="preserve"> </w:t>
      </w:r>
      <w:r>
        <w:rPr>
          <w:b/>
          <w:bCs/>
        </w:rPr>
        <w:t xml:space="preserve">easier volume comps in Q2, harder in H2</w:t>
      </w:r>
      <w:r>
        <w:t xml:space="preserve">; but (2) Q2 2025 was still a very strong margin quarter (31.4%), so the diesel squeeze this year makes YoY margin expansion harder to achieve.</w:t>
      </w:r>
    </w:p>
    <w:bookmarkEnd w:id="11"/>
    <w:bookmarkStart w:id="12" w:name="Xbc83fa4b2f02d21a68eb8b7d9f5200840bd3cbd"/>
    <w:p>
      <w:pPr>
        <w:pStyle w:val="Heading2"/>
      </w:pPr>
      <w:r>
        <w:t xml:space="preserve">What the guidance framework implies for Q2</w:t>
      </w:r>
    </w:p>
    <w:p>
      <w:pPr>
        <w:pStyle w:val="FirstParagraph"/>
      </w:pPr>
      <w:r>
        <w:t xml:space="preserve">Vulcan guided investors to think in "normal seasonal spreads," not noisy YoY quarters. Backing into the math: with H1 historically ~44–45% of full-year EBITDA and Q1 2026 already at $447M, the full-year midpoint implies</w:t>
      </w:r>
      <w:r>
        <w:t xml:space="preserve"> </w:t>
      </w:r>
      <w:r>
        <w:rPr>
          <w:b/>
          <w:bCs/>
        </w:rPr>
        <w:t xml:space="preserve">Q2 2026 adjusted EBITDA of roughly</w:t>
      </w:r>
      <w:r>
        <w:rPr>
          <w:b/>
          <w:bCs/>
        </w:rPr>
        <w:t xml:space="preserve"> </w:t>
      </w:r>
      <m:oMath>
        <m:r>
          <m:t>650</m:t>
        </m:r>
        <m:r>
          <m:rPr>
            <m:sty m:val="p"/>
          </m:rPr>
          <m:t>–</m:t>
        </m:r>
      </m:oMath>
      <w:r>
        <w:rPr>
          <w:b/>
          <w:bCs/>
        </w:rPr>
        <w:t xml:space="preserve">680M — i.e., roughly flat to modestly up versus last year's $660M.</w:t>
      </w:r>
      <w:r>
        <w:t xml:space="preserve"> </w:t>
      </w:r>
      <w:r>
        <w:t xml:space="preserve">A print meaningfully above that would signal the diesel headwind was milder than feared and/or volumes ran hot; a miss would likely be cost-driven, not demand-driven.</w:t>
      </w:r>
    </w:p>
    <w:bookmarkEnd w:id="12"/>
    <w:bookmarkStart w:id="13" w:name="the-five-things-that-will-move-the-stock"/>
    <w:p>
      <w:pPr>
        <w:pStyle w:val="Heading2"/>
      </w:pPr>
      <w:r>
        <w:t xml:space="preserve">The five things that will move the stock</w:t>
      </w:r>
    </w:p>
    <w:p>
      <w:pPr>
        <w:pStyle w:val="FirstParagraph"/>
      </w:pPr>
      <w:r>
        <w:rPr>
          <w:b/>
          <w:bCs/>
        </w:rPr>
        <w:t xml:space="preserve">1. Diesel / energy cost squeeze — the key swing factor.</w:t>
      </w:r>
      <w:r>
        <w:t xml:space="preserve"> </w:t>
      </w:r>
      <w:r>
        <w:t xml:space="preserve">Management sized the Q2 diesel hit at roughly</w:t>
      </w:r>
      <w:r>
        <w:t xml:space="preserve"> </w:t>
      </w:r>
      <w:r>
        <w:rPr>
          <w:b/>
          <w:bCs/>
        </w:rPr>
        <w:t xml:space="preserve">$25M</w:t>
      </w:r>
      <w:r>
        <w:t xml:space="preserve"> </w:t>
      </w:r>
      <w:r>
        <w:t xml:space="preserve">and said aggregates cash cost of sales YoY could approach</w:t>
      </w:r>
      <w:r>
        <w:t xml:space="preserve"> </w:t>
      </w:r>
      <w:r>
        <w:rPr>
          <w:b/>
          <w:bCs/>
        </w:rPr>
        <w:t xml:space="preserve">high-single-digits</w:t>
      </w:r>
      <w:r>
        <w:t xml:space="preserve"> </w:t>
      </w:r>
      <w:r>
        <w:t xml:space="preserve">in Q2 (roughly double the +4% seen in Q1) before pricing actions flow through. Liquid asphalt is the second energy pressure point (though ~1/3 of that work is indexed). Watch whether the full-year "low-single-digit" cost growth guide holds — CFO Mary Andrews Carlisle flagged that where they land in the range depends on how diesel develops. Also listen for the levers Vulcan can pull (deferring stripping, VWO efficiency, idling loaders) to blunt the impact.</w:t>
      </w:r>
    </w:p>
    <w:p>
      <w:pPr>
        <w:pStyle w:val="BodyText"/>
      </w:pPr>
      <w:r>
        <w:rPr>
          <w:b/>
          <w:bCs/>
        </w:rPr>
        <w:t xml:space="preserve">2. Pricing cadence — is acceleration showing up?</w:t>
      </w:r>
      <w:r>
        <w:t xml:space="preserve"> </w:t>
      </w:r>
      <w:r>
        <w:t xml:space="preserve">Q1 mix-adjusted price was +4%, at the</w:t>
      </w:r>
      <w:r>
        <w:t xml:space="preserve"> </w:t>
      </w:r>
      <w:r>
        <w:rPr>
          <w:i/>
          <w:iCs/>
        </w:rPr>
        <w:t xml:space="preserve">low end</w:t>
      </w:r>
      <w:r>
        <w:t xml:space="preserve"> </w:t>
      </w:r>
      <w:r>
        <w:t xml:space="preserve">of the full-year range, held back by tough hurricane-relief comps in Tennessee/North Carolina and a mix shift toward lower-priced base products (data centers, public work). Management said pricing accelerates through the year and confirmed</w:t>
      </w:r>
      <w:r>
        <w:t xml:space="preserve"> </w:t>
      </w:r>
      <w:r>
        <w:rPr>
          <w:b/>
          <w:bCs/>
        </w:rPr>
        <w:t xml:space="preserve">mid-year increases were sent to all markets, earlier than last year</w:t>
      </w:r>
      <w:r>
        <w:t xml:space="preserve">. The bull case requires Q2/H2 pricing to inflect toward the higher end of the range — watch reported price, mix-adjusted price, and any color on mid-year increase "stick rate."</w:t>
      </w:r>
    </w:p>
    <w:p>
      <w:pPr>
        <w:pStyle w:val="BodyText"/>
      </w:pPr>
      <w:r>
        <w:rPr>
          <w:b/>
          <w:bCs/>
        </w:rPr>
        <w:t xml:space="preserve">3. Volumes and the demand mix.</w:t>
      </w:r>
      <w:r>
        <w:t xml:space="preserve"> </w:t>
      </w:r>
      <w:r>
        <w:t xml:space="preserve">Q1 shipments rose +5% (aided by more normal weather vs. a brutal Q1 2025), but management kept full-year volume guidance at</w:t>
      </w:r>
      <w:r>
        <w:t xml:space="preserve"> </w:t>
      </w:r>
      <w:r>
        <w:rPr>
          <w:b/>
          <w:bCs/>
        </w:rPr>
        <w:t xml:space="preserve">low-single-digit growth</w:t>
      </w:r>
      <w:r>
        <w:t xml:space="preserve"> </w:t>
      </w:r>
      <w:r>
        <w:t xml:space="preserve">rather than raising it. Demand is being led by public construction (trailing-12-month highway awards +12%, public infrastructure awards +17% in Vulcan's markets — far outpacing the U.S.) and data centers (~650M sq ft under construction/announced; 60% of large projects within 50 miles of a Vulcan facility). Residential remains weak on affordability. Watch for confirmation the backlog is converting on schedule and whether energy/power-related projects (a newer tailwind) are ramping.</w:t>
      </w:r>
    </w:p>
    <w:p>
      <w:pPr>
        <w:pStyle w:val="BodyText"/>
      </w:pPr>
      <w:r>
        <w:rPr>
          <w:b/>
          <w:bCs/>
        </w:rPr>
        <w:t xml:space="preserve">4. Cash gross profit per ton — the "$20" north star.</w:t>
      </w:r>
      <w:r>
        <w:t xml:space="preserve"> </w:t>
      </w:r>
      <w:r>
        <w:t xml:space="preserve">Trailing-12-month aggregates cash GP/ton hit $11.38 in Q1 on the road to management's stated $20/ton ambition. Q2 unit profitability will be the cleanest read on whether pricing is out-running the energy cost bubble. Any sequential progress here despite the diesel drag would be a strong signal.</w:t>
      </w:r>
    </w:p>
    <w:p>
      <w:pPr>
        <w:pStyle w:val="BodyText"/>
      </w:pPr>
      <w:r>
        <w:rPr>
          <w:b/>
          <w:bCs/>
        </w:rPr>
        <w:t xml:space="preserve">5. Portfolio &amp; capital allocation.</w:t>
      </w:r>
      <w:r>
        <w:t xml:space="preserve"> </w:t>
      </w:r>
      <w:r>
        <w:t xml:space="preserve">The</w:t>
      </w:r>
      <w:r>
        <w:t xml:space="preserve"> </w:t>
      </w:r>
      <w:r>
        <w:rPr>
          <w:b/>
          <w:bCs/>
        </w:rPr>
        <w:t xml:space="preserve">California ready-mix divestiture</w:t>
      </w:r>
      <w:r>
        <w:t xml:space="preserve"> </w:t>
      </w:r>
      <w:r>
        <w:t xml:space="preserve">was expected to close in Q2 (it contributed ~</w:t>
      </w:r>
      <w:r>
        <w:t xml:space="preserve">$10M of cash gross profit in Q1, a helpful near-term offset while still owned). Also watch for updates on the **bolt-on acquisitions** management said should finalize "in coming months," greenfield ramp (new plants in Arizona, Texas, South Carolina; 7 new distribution yards), and buyback pace ($</w:t>
      </w:r>
      <w:r>
        <w:t xml:space="preserve">149M repurchased in Q1). The balance sheet is a strength: net debt/EBITDA of</w:t>
      </w:r>
      <w:r>
        <w:t xml:space="preserve"> </w:t>
      </w:r>
      <w:r>
        <w:rPr>
          <w:b/>
          <w:bCs/>
        </w:rPr>
        <w:t xml:space="preserve">1.9x</w:t>
      </w:r>
      <w:r>
        <w:t xml:space="preserve">, below the 2.0–2.5x target range, leaving ample dry powder.</w:t>
      </w:r>
    </w:p>
    <w:bookmarkEnd w:id="13"/>
    <w:bookmarkStart w:id="14" w:name="bigger-picture-watch-items"/>
    <w:p>
      <w:pPr>
        <w:pStyle w:val="Heading2"/>
      </w:pPr>
      <w:r>
        <w:t xml:space="preserve">Bigger-picture watch items</w:t>
      </w:r>
    </w:p>
    <w:p>
      <w:pPr>
        <w:pStyle w:val="Compact"/>
        <w:numPr>
          <w:ilvl w:val="0"/>
          <w:numId w:val="1001"/>
        </w:numPr>
      </w:pPr>
      <w:r>
        <w:rPr>
          <w:b/>
          <w:bCs/>
        </w:rPr>
        <w:t xml:space="preserve">Highway reauthorization:</w:t>
      </w:r>
      <w:r>
        <w:t xml:space="preserve"> </w:t>
      </w:r>
      <w:r>
        <w:t xml:space="preserve">IIJA expires later in 2026. Management expects a</w:t>
      </w:r>
      <w:r>
        <w:t xml:space="preserve"> </w:t>
      </w:r>
      <w:r>
        <w:rPr>
          <w:i/>
          <w:iCs/>
        </w:rPr>
        <w:t xml:space="preserve">higher</w:t>
      </w:r>
      <w:r>
        <w:t xml:space="preserve"> </w:t>
      </w:r>
      <w:r>
        <w:t xml:space="preserve">funding level than the current bill (House ~$500–550B, some Senate voices higher) and a smooth transition given only ~45% of IIJA dollars have been spent. Any commentary on timing (a continuing resolution is the likely path) matters for the 2027 setup — management insists public demand is "the least of my worries."</w:t>
      </w:r>
    </w:p>
    <w:p>
      <w:pPr>
        <w:pStyle w:val="Compact"/>
        <w:numPr>
          <w:ilvl w:val="0"/>
          <w:numId w:val="1001"/>
        </w:numPr>
      </w:pPr>
      <w:r>
        <w:rPr>
          <w:b/>
          <w:bCs/>
        </w:rPr>
        <w:t xml:space="preserve">CEO transition:</w:t>
      </w:r>
      <w:r>
        <w:t xml:space="preserve"> </w:t>
      </w:r>
      <w:r>
        <w:t xml:space="preserve">This is the second quarter under Ronnie Pruitt (CEO effective Jan 1, 2026; Tom Hill was CEO through 2025). Q1 included $8.6M of CEO transition/reorg charges — watch for any residual charges and continuity of strategy/messaging.</w:t>
      </w:r>
    </w:p>
    <w:p>
      <w:pPr>
        <w:pStyle w:val="Compact"/>
        <w:numPr>
          <w:ilvl w:val="0"/>
          <w:numId w:val="1001"/>
        </w:numPr>
      </w:pPr>
      <w:r>
        <w:rPr>
          <w:b/>
          <w:bCs/>
        </w:rPr>
        <w:t xml:space="preserve">Geopolitical / cost knock-ons:</w:t>
      </w:r>
      <w:r>
        <w:t xml:space="preserve"> </w:t>
      </w:r>
      <w:r>
        <w:t xml:space="preserve">Management said it had</w:t>
      </w:r>
      <w:r>
        <w:t xml:space="preserve"> </w:t>
      </w:r>
      <w:r>
        <w:rPr>
          <w:i/>
          <w:iCs/>
        </w:rPr>
        <w:t xml:space="preserve">not</w:t>
      </w:r>
      <w:r>
        <w:t xml:space="preserve"> </w:t>
      </w:r>
      <w:r>
        <w:t xml:space="preserve">seen project cancellations from Middle East conflict, nor cost inflation beyond fuel/asphalt (metal, parts, equipment), as of Q1. Confirmation either way is worth noting.</w:t>
      </w:r>
    </w:p>
    <w:bookmarkEnd w:id="14"/>
    <w:bookmarkStart w:id="15" w:name="bottom-line"/>
    <w:p>
      <w:pPr>
        <w:pStyle w:val="Heading2"/>
      </w:pPr>
      <w:r>
        <w:t xml:space="preserve">Bottom line</w:t>
      </w:r>
    </w:p>
    <w:p>
      <w:pPr>
        <w:pStyle w:val="FirstParagraph"/>
      </w:pPr>
      <w:r>
        <w:t xml:space="preserve">Expect a "good business, noisy quarter" print. The franchise metrics (unit margins, pricing discipline, public-heavy footprint, deleveraged balance sheet) remain firmly intact, but Q2 is the quarter management pre-announced would carry the heaviest energy-cost drag, so a roughly flat-to-modestly-up EBITDA quarter (~$650–680M) with softer YoY margin comparison would be</w:t>
      </w:r>
      <w:r>
        <w:t xml:space="preserve"> </w:t>
      </w:r>
      <w:r>
        <w:rPr>
          <w:i/>
          <w:iCs/>
        </w:rPr>
        <w:t xml:space="preserve">in line</w:t>
      </w:r>
      <w:r>
        <w:t xml:space="preserve"> </w:t>
      </w:r>
      <w:r>
        <w:t xml:space="preserve">with the plan — not a negative surprise. The real signal will be in the</w:t>
      </w:r>
      <w:r>
        <w:t xml:space="preserve"> </w:t>
      </w:r>
      <w:r>
        <w:rPr>
          <w:b/>
          <w:bCs/>
        </w:rPr>
        <w:t xml:space="preserve">guidance reiteration (or revision), the pricing/cost cadence commentary for H2, and confirmation the mid-year price increases are taking hold</w:t>
      </w:r>
      <w:r>
        <w:t xml:space="preserve"> </w:t>
      </w:r>
      <w:r>
        <w:t xml:space="preserve">to recover the diesel headwind. Given how heavily management has telegraphed the Q2 cost squeeze, the risk/reward skews toward the reaction being driven by</w:t>
      </w:r>
      <w:r>
        <w:t xml:space="preserve"> </w:t>
      </w:r>
      <w:r>
        <w:rPr>
          <w:i/>
          <w:iCs/>
        </w:rPr>
        <w:t xml:space="preserve">forward</w:t>
      </w:r>
      <w:r>
        <w:t xml:space="preserve"> </w:t>
      </w:r>
      <w:r>
        <w:t xml:space="preserve">commentary (pricing acceleration, full-year range, M&amp;A) rather than the headline quarter itself.</w:t>
      </w:r>
    </w:p>
    <w:p>
      <w:pPr>
        <w:pStyle w:val="BodyText"/>
      </w:pPr>
      <w:r>
        <w:rPr>
          <w:i/>
          <w:iCs/>
        </w:rPr>
        <w:t xml:space="preserve">Note: I researched Vulcan's Q1 2026 release and call and the prior-year Q2 2025 release for these figures. No fresh pre-earnings news was available in the news feed for the days leading into this report, so the preview is built off company guidance and disclosed cadence.</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2026-07-29T00:52:58Z</dcterms:created>
  <dcterms:modified xsi:type="dcterms:W3CDTF">2026-07-29T00:52:58Z</dcterms:modified>
</cp:coreProperties>
</file>

<file path=docProps/custom.xml><?xml version="1.0" encoding="utf-8"?>
<Properties xmlns="http://schemas.openxmlformats.org/officeDocument/2006/custom-properties" xmlns:vt="http://schemas.openxmlformats.org/officeDocument/2006/docPropsVTypes"/>
</file>