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28f2e14cc9ca8a21cd82f032ae4b90503adf49"/>
    <w:p>
      <w:pPr>
        <w:pStyle w:val="Heading1"/>
      </w:pPr>
      <w:r>
        <w:t xml:space="preserve">Vulcan Materials Company (VMC) — Q2 2026 Earnings Preview</w:t>
      </w:r>
    </w:p>
    <w:p>
      <w:pPr>
        <w:pStyle w:val="FirstParagraph"/>
      </w:pPr>
      <w:r>
        <w:rPr>
          <w:b/>
          <w:bCs/>
        </w:rPr>
        <w:t xml:space="preserve">When:</w:t>
      </w:r>
      <w:r>
        <w:t xml:space="preserve"> </w:t>
      </w:r>
      <w:r>
        <w:t xml:space="preserve">Vulcan reports second-quarter 2026 results tomorrow, July 29, 2026, with a conference call scheduled for 9:00 a.m. CT. The report lands the same week as the Fed's July policy decision, adding a bit of extra macro noise around the print.</w:t>
      </w:r>
    </w:p>
    <w:p>
      <w:r>
        <w:pict>
          <v:rect style="width:0;height:1.5pt" o:hralign="center" o:hrstd="t" o:hr="t"/>
        </w:pict>
      </w:r>
    </w:p>
    <w:bookmarkStart w:id="9" w:name="setting-the-stage-where-estimates-stand"/>
    <w:p>
      <w:pPr>
        <w:pStyle w:val="Heading2"/>
      </w:pPr>
      <w:r>
        <w:t xml:space="preserve">Setting the Stage: Where Estimates Stand</w:t>
      </w:r>
    </w:p>
    <w:p>
      <w:pPr>
        <w:pStyle w:val="FirstParagraph"/>
      </w:pPr>
      <w:r>
        <w:t xml:space="preserve">Wall Street is looking for continued, modest earnings growth. Consensus estimates going into the print call for adjusted diluted EPS in roughly the</w:t>
      </w:r>
      <w:r>
        <w:t xml:space="preserve"> </w:t>
      </w:r>
      <m:oMath>
        <m:r>
          <m:t>2.50</m:t>
        </m:r>
        <m:r>
          <m:rPr>
            <m:sty m:val="p"/>
          </m:rPr>
          <m:t>–</m:t>
        </m:r>
      </m:oMath>
      <w:r>
        <w:rPr>
          <w:b/>
          <w:bCs/>
        </w:rPr>
        <w:t xml:space="preserve">2.59 range</w:t>
      </w:r>
      <w:r>
        <w:t xml:space="preserve"> </w:t>
      </w:r>
      <w:r>
        <w:t xml:space="preserve">(versus</w:t>
      </w:r>
      <w:r>
        <w:t xml:space="preserve"> </w:t>
      </w:r>
      <m:oMath>
        <m:r>
          <m:t>2.45</m:t>
        </m:r>
        <m:r>
          <m:rPr>
            <m:sty m:val="p"/>
          </m:rPr>
          <m:t>*</m:t>
        </m:r>
        <m:r>
          <m:rPr>
            <m:sty m:val="p"/>
          </m:rPr>
          <m:t>*</m:t>
        </m:r>
        <m:r>
          <m:t>i</m:t>
        </m:r>
        <m:r>
          <m:t>n</m:t>
        </m:r>
        <m:r>
          <m:t>t</m:t>
        </m:r>
        <m:r>
          <m:t>h</m:t>
        </m:r>
        <m:r>
          <m:t>e</m:t>
        </m:r>
        <m:r>
          <m:t>p</m:t>
        </m:r>
        <m:r>
          <m:t>r</m:t>
        </m:r>
        <m:r>
          <m:t>i</m:t>
        </m:r>
        <m:r>
          <m:t>o</m:t>
        </m:r>
        <m:r>
          <m:t>r</m:t>
        </m:r>
        <m:r>
          <m:rPr>
            <m:sty m:val="p"/>
          </m:rPr>
          <m:t>−</m:t>
        </m:r>
        <m:r>
          <m:t>y</m:t>
        </m:r>
        <m:r>
          <m:t>e</m:t>
        </m:r>
        <m:r>
          <m:t>a</m:t>
        </m:r>
        <m:r>
          <m:t>r</m:t>
        </m:r>
        <m:r>
          <m:t>q</m:t>
        </m:r>
        <m:r>
          <m:t>u</m:t>
        </m:r>
        <m:r>
          <m:t>a</m:t>
        </m:r>
        <m:r>
          <m:t>r</m:t>
        </m:r>
        <m:r>
          <m:t>t</m:t>
        </m:r>
        <m:r>
          <m:t>e</m:t>
        </m:r>
        <m:r>
          <m:t>r</m:t>
        </m:r>
        <m:r>
          <m:rPr>
            <m:sty m:val="p"/>
          </m:rPr>
          <m:t>)</m:t>
        </m:r>
        <m:r>
          <m:t>o</m:t>
        </m:r>
        <m:r>
          <m:t>n</m:t>
        </m:r>
        <m:r>
          <m:t>r</m:t>
        </m:r>
        <m:r>
          <m:t>e</m:t>
        </m:r>
        <m:r>
          <m:t>v</m:t>
        </m:r>
        <m:r>
          <m:t>e</m:t>
        </m:r>
        <m:r>
          <m:t>n</m:t>
        </m:r>
        <m:r>
          <m:t>u</m:t>
        </m:r>
        <m:r>
          <m:t>e</m:t>
        </m:r>
        <m:r>
          <m:t>o</m:t>
        </m:r>
        <m:r>
          <m:t>f</m:t>
        </m:r>
        <m:r>
          <m:t>a</m:t>
        </m:r>
        <m:r>
          <m:t>r</m:t>
        </m:r>
        <m:r>
          <m:t>o</m:t>
        </m:r>
        <m:r>
          <m:t>u</m:t>
        </m:r>
        <m:r>
          <m:t>n</m:t>
        </m:r>
        <m:r>
          <m:t>d</m:t>
        </m:r>
        <m:r>
          <m:rPr>
            <m:sty m:val="p"/>
          </m:rPr>
          <m:t>*</m:t>
        </m:r>
        <m:r>
          <m:rPr>
            <m:sty m:val="p"/>
          </m:rPr>
          <m:t>*</m:t>
        </m:r>
      </m:oMath>
      <w:r>
        <w:rPr>
          <w:b/>
          <w:bCs/>
        </w:rPr>
        <w:t xml:space="preserve">2.16 billion</w:t>
      </w:r>
      <w:r>
        <w:t xml:space="preserve">. Sentiment has cooled somewhat into the print — the stock has pulled back from its June highs and analyst price targets (averaging in the</w:t>
      </w:r>
      <w:r>
        <w:t xml:space="preserve"> </w:t>
      </w:r>
      <m:oMath>
        <m:r>
          <m:t>325</m:t>
        </m:r>
        <m:r>
          <m:rPr>
            <m:sty m:val="p"/>
          </m:rPr>
          <m:t>+</m:t>
        </m:r>
        <m:r>
          <m:t>a</m:t>
        </m:r>
        <m:r>
          <m:t>r</m:t>
        </m:r>
        <m:r>
          <m:t>e</m:t>
        </m:r>
        <m:r>
          <m:t>a</m:t>
        </m:r>
        <m:r>
          <m:rPr>
            <m:sty m:val="p"/>
          </m:rPr>
          <m:t>)</m:t>
        </m:r>
        <m:r>
          <m:t>s</m:t>
        </m:r>
        <m:r>
          <m:t>i</m:t>
        </m:r>
        <m:r>
          <m:t>t</m:t>
        </m:r>
        <m:r>
          <m:t>w</m:t>
        </m:r>
        <m:r>
          <m:t>e</m:t>
        </m:r>
        <m:r>
          <m:t>l</m:t>
        </m:r>
        <m:r>
          <m:t>l</m:t>
        </m:r>
        <m:r>
          <m:t>a</m:t>
        </m:r>
        <m:r>
          <m:t>b</m:t>
        </m:r>
        <m:r>
          <m:t>o</m:t>
        </m:r>
        <m:r>
          <m:t>v</m:t>
        </m:r>
        <m:r>
          <m:t>e</m:t>
        </m:r>
        <m:r>
          <m:t>t</m:t>
        </m:r>
        <m:r>
          <m:t>h</m:t>
        </m:r>
        <m:r>
          <m:t>e</m:t>
        </m:r>
        <m:r>
          <m:t>r</m:t>
        </m:r>
        <m:r>
          <m:t>e</m:t>
        </m:r>
        <m:r>
          <m:t>c</m:t>
        </m:r>
        <m:r>
          <m:t>e</m:t>
        </m:r>
        <m:r>
          <m:t>n</m:t>
        </m:r>
        <m:r>
          <m:t>t</m:t>
        </m:r>
        <m:r>
          <m:t>t</m:t>
        </m:r>
        <m:r>
          <m:t>r</m:t>
        </m:r>
        <m:r>
          <m:t>a</m:t>
        </m:r>
        <m:r>
          <m:t>d</m:t>
        </m:r>
        <m:r>
          <m:t>i</m:t>
        </m:r>
        <m:r>
          <m:t>n</m:t>
        </m:r>
        <m:r>
          <m:t>g</m:t>
        </m:r>
        <m:r>
          <m:t>r</m:t>
        </m:r>
        <m:r>
          <m:t>a</m:t>
        </m:r>
        <m:r>
          <m:t>n</m:t>
        </m:r>
        <m:r>
          <m:t>g</m:t>
        </m:r>
        <m:r>
          <m:t>e</m:t>
        </m:r>
        <m:r>
          <m:t>i</m:t>
        </m:r>
        <m:r>
          <m:t>n</m:t>
        </m:r>
        <m:r>
          <m:t>t</m:t>
        </m:r>
        <m:r>
          <m:t>h</m:t>
        </m:r>
        <m:r>
          <m:t>e</m:t>
        </m:r>
        <m:r>
          <m:t>h</m:t>
        </m:r>
        <m:r>
          <m:t>i</m:t>
        </m:r>
        <m:r>
          <m:t>g</m:t>
        </m:r>
        <m:r>
          <m:t>h</m:t>
        </m:r>
        <m:r>
          <m:rPr>
            <m:sty m:val="p"/>
          </m:rPr>
          <m:t>−</m:t>
        </m:r>
      </m:oMath>
      <w:r>
        <w:t xml:space="preserve">270s/high-$280s, suggesting the market is pricing in some near-term uncertainty even as the longer-term bull case remains largely intact.</w:t>
      </w:r>
    </w:p>
    <w:p>
      <w:pPr>
        <w:pStyle w:val="BodyText"/>
      </w:pPr>
      <w:r>
        <w:t xml:space="preserve">For context, in</w:t>
      </w:r>
      <w:r>
        <w:t xml:space="preserve"> </w:t>
      </w:r>
      <w:r>
        <w:rPr>
          <w:b/>
          <w:bCs/>
        </w:rPr>
        <w:t xml:space="preserve">Q2 2025</w:t>
      </w:r>
      <w:r>
        <w:t xml:space="preserve"> </w:t>
      </w:r>
      <w:r>
        <w:t xml:space="preserve">Vulcan posted revenue of $2,102.4 million, adjusted EBITDA of $659.5 million (31.4% margin), adjusted EPS of $2.45, aggregates shipments of 59.3 million tons, freight-adjusted pricing of $22.11/ton, and cash gross profit of $11.88/ton. That is the bar Q2 2026 needs to clear.</w:t>
      </w:r>
    </w:p>
    <w:p>
      <w:r>
        <w:pict>
          <v:rect style="width:0;height:1.5pt" o:hralign="center" o:hrstd="t" o:hr="t"/>
        </w:pict>
      </w:r>
    </w:p>
    <w:bookmarkEnd w:id="9"/>
    <w:bookmarkStart w:id="10" w:name="Xcba372516235bd616b34bd8cdc24bd8fe278814"/>
    <w:p>
      <w:pPr>
        <w:pStyle w:val="Heading2"/>
      </w:pPr>
      <w:r>
        <w:t xml:space="preserve">What Happened Last Quarter (Q1 2026) — The Backdrop</w:t>
      </w:r>
    </w:p>
    <w:p>
      <w:pPr>
        <w:pStyle w:val="FirstParagraph"/>
      </w:pPr>
      <w:r>
        <w:t xml:space="preserve">Vulcan's Q1 2026 print (reported April 29) was solid and set up several of the dynamics investors should watch this quarter:</w:t>
      </w:r>
    </w:p>
    <w:p>
      <w:pPr>
        <w:pStyle w:val="Compact"/>
        <w:numPr>
          <w:ilvl w:val="0"/>
          <w:numId w:val="1001"/>
        </w:numPr>
      </w:pPr>
      <w:r>
        <w:rPr>
          <w:b/>
          <w:bCs/>
        </w:rPr>
        <w:t xml:space="preserve">Growth resumed:</w:t>
      </w:r>
      <w:r>
        <w:t xml:space="preserve"> </w:t>
      </w:r>
      <w:r>
        <w:t xml:space="preserve">Adjusted EBITDA was $447 million, up 9% year-over-year, with margin expansion in every segment and aggregates shipments up 5% on improving demand and easier weather comparisons.</w:t>
      </w:r>
    </w:p>
    <w:p>
      <w:pPr>
        <w:pStyle w:val="Compact"/>
        <w:numPr>
          <w:ilvl w:val="0"/>
          <w:numId w:val="1001"/>
        </w:numPr>
      </w:pPr>
      <w:r>
        <w:rPr>
          <w:b/>
          <w:bCs/>
        </w:rPr>
        <w:t xml:space="preserve">Pricing accelerating from a low base:</w:t>
      </w:r>
      <w:r>
        <w:t xml:space="preserve"> </w:t>
      </w:r>
      <w:r>
        <w:t xml:space="preserve">Aggregates freight-adjusted price rose 4% on a mix-adjusted basis, which management explicitly called the "lower end" of the full-year range, with pricing expected to build through the year — reinforced by</w:t>
      </w:r>
      <w:r>
        <w:t xml:space="preserve"> </w:t>
      </w:r>
      <w:r>
        <w:rPr>
          <w:b/>
          <w:bCs/>
        </w:rPr>
        <w:t xml:space="preserve">midyear price increases</w:t>
      </w:r>
      <w:r>
        <w:t xml:space="preserve"> </w:t>
      </w:r>
      <w:r>
        <w:t xml:space="preserve">announced earlier than usual, in every market.</w:t>
      </w:r>
    </w:p>
    <w:p>
      <w:pPr>
        <w:pStyle w:val="Compact"/>
        <w:numPr>
          <w:ilvl w:val="0"/>
          <w:numId w:val="1001"/>
        </w:numPr>
      </w:pPr>
      <w:r>
        <w:rPr>
          <w:b/>
          <w:bCs/>
        </w:rPr>
        <w:t xml:space="preserve">Diesel cost headwind flagged for Q2:</w:t>
      </w:r>
      <w:r>
        <w:t xml:space="preserve"> </w:t>
      </w:r>
      <w:r>
        <w:t xml:space="preserve">Management guided that the spike in diesel prices beginning in February would be "felt most acutely" in Q2, with CFO Mary Andrews Carlisle quantifying the hit at roughly</w:t>
      </w:r>
      <w:r>
        <w:t xml:space="preserve"> </w:t>
      </w:r>
      <w:r>
        <w:rPr>
          <w:b/>
          <w:bCs/>
        </w:rPr>
        <w:t xml:space="preserve">$25 million</w:t>
      </w:r>
      <w:r>
        <w:t xml:space="preserve"> </w:t>
      </w:r>
      <w:r>
        <w:t xml:space="preserve">and cash cost of sales growth potentially running close to double the Q1 pace (approaching high-single-digits) before moderating in the back half as pricing catches up.</w:t>
      </w:r>
    </w:p>
    <w:p>
      <w:pPr>
        <w:pStyle w:val="Compact"/>
        <w:numPr>
          <w:ilvl w:val="0"/>
          <w:numId w:val="1001"/>
        </w:numPr>
      </w:pPr>
      <w:r>
        <w:rPr>
          <w:b/>
          <w:bCs/>
        </w:rPr>
        <w:t xml:space="preserve">Full-year guidance reaffirmed:</w:t>
      </w:r>
      <w:r>
        <w:t xml:space="preserve"> </w:t>
      </w:r>
      <m:oMath>
        <m:r>
          <m:t>2.4</m:t>
        </m:r>
        <m:r>
          <m:rPr>
            <m:sty m:val="p"/>
          </m:rPr>
          <m:t>–</m:t>
        </m:r>
      </m:oMath>
      <w:r>
        <w:t xml:space="preserve">2.6 billion of adjusted EBITDA for 2026 (midpoint $2.5 billion), with management stressing this assumption already embeds an elevated, "sticky" diesel cost environment rather than a quick reversion.</w:t>
      </w:r>
    </w:p>
    <w:p>
      <w:pPr>
        <w:pStyle w:val="Compact"/>
        <w:numPr>
          <w:ilvl w:val="0"/>
          <w:numId w:val="1001"/>
        </w:numPr>
      </w:pPr>
      <w:r>
        <w:rPr>
          <w:b/>
          <w:bCs/>
        </w:rPr>
        <w:t xml:space="preserve">Balance sheet/capital returns:</w:t>
      </w:r>
      <w:r>
        <w:t xml:space="preserve"> </w:t>
      </w:r>
      <w:r>
        <w:t xml:space="preserve">Net debt/EBITDA of 1.9x (below the low end of the 2.0x–2.5x target range), $149 million of buybacks in Q1, and a strong M&amp;A pipeline with "several bolt-on acquisitions" expected to close in coming months.</w:t>
      </w:r>
    </w:p>
    <w:p>
      <w:pPr>
        <w:pStyle w:val="Compact"/>
        <w:numPr>
          <w:ilvl w:val="0"/>
          <w:numId w:val="1001"/>
        </w:numPr>
      </w:pPr>
      <w:r>
        <w:rPr>
          <w:b/>
          <w:bCs/>
        </w:rPr>
        <w:t xml:space="preserve">California ready-mix divestiture:</w:t>
      </w:r>
      <w:r>
        <w:t xml:space="preserve"> </w:t>
      </w:r>
      <w:r>
        <w:t xml:space="preserve">Expected to close in Q2, removing a business that contributed ~$10 million of cash gross profit in Q1 — a modestly negative EBITDA comp but a positive for the aggregates-led portfolio focus.</w:t>
      </w:r>
    </w:p>
    <w:p>
      <w:r>
        <w:pict>
          <v:rect style="width:0;height:1.5pt" o:hralign="center" o:hrstd="t" o:hr="t"/>
        </w:pict>
      </w:r>
    </w:p>
    <w:bookmarkEnd w:id="10"/>
    <w:bookmarkStart w:id="18" w:name="key-things-to-watch-in-the-q2-2026-print"/>
    <w:p>
      <w:pPr>
        <w:pStyle w:val="Heading2"/>
      </w:pPr>
      <w:r>
        <w:t xml:space="preserve">Key Things to Watch in the Q2 2026 Print</w:t>
      </w:r>
    </w:p>
    <w:bookmarkStart w:id="11" w:name="X0d82ebf9336f8c2116caa5d878b13a35ef5f384"/>
    <w:p>
      <w:pPr>
        <w:pStyle w:val="Heading3"/>
      </w:pPr>
      <w:r>
        <w:t xml:space="preserve">1. Did the diesel/energy cost squeeze play out as guided?</w:t>
      </w:r>
    </w:p>
    <w:p>
      <w:pPr>
        <w:pStyle w:val="FirstParagraph"/>
      </w:pPr>
      <w:r>
        <w:t xml:space="preserve">This is arguably the single biggest swing factor. Management pre-announced this headwind in detail on the Q1 call, framing it as temporary but "longer" than hoped, with surcharges covering downstream/delivery costs but plant-level diesel usage (stripping, hauling, loading) as the exposed area. Watch for: the actual dollar cost drag, whether cash cost of sales landed in the "high single digits" y/y range flagged, and — critically — early commentary on how much of the midyear price increases have begun offsetting it into H2.</w:t>
      </w:r>
    </w:p>
    <w:bookmarkEnd w:id="11"/>
    <w:bookmarkStart w:id="12" w:name="Xb59dc2d3e8e7095596904cac75b9951c6c72d8b"/>
    <w:p>
      <w:pPr>
        <w:pStyle w:val="Heading3"/>
      </w:pPr>
      <w:r>
        <w:t xml:space="preserve">2. Pricing cadence — has the "back-half acceleration" started?</w:t>
      </w:r>
    </w:p>
    <w:p>
      <w:pPr>
        <w:pStyle w:val="FirstParagraph"/>
      </w:pPr>
      <w:r>
        <w:t xml:space="preserve">Vulcan came into the year guiding pricing to start at the low end of its range (~4%) and build through 2026 due to tough hurricane-relief-related comps from 2025. With midyear increases already announced across all markets, investors will want evidence that realized aggregates pricing is inflecting higher, and management's updated view on where full-year pricing growth will land (2022-style rapid pass-through was the explicit comparison management drew, though they noted differences given the absence of a residential tailwind this cycle).</w:t>
      </w:r>
    </w:p>
    <w:bookmarkEnd w:id="12"/>
    <w:bookmarkStart w:id="13" w:name="X98f77029e664fc4d509db839827ae4f36396760"/>
    <w:p>
      <w:pPr>
        <w:pStyle w:val="Heading3"/>
      </w:pPr>
      <w:r>
        <w:t xml:space="preserve">3. Volume trends and demand mix</w:t>
      </w:r>
    </w:p>
    <w:p>
      <w:pPr>
        <w:pStyle w:val="FirstParagraph"/>
      </w:pPr>
      <w:r>
        <w:t xml:space="preserve">Q1 shipments were up 5%, aided by easier weather comps. The key demand pillars to track: continued strength in public/highway work (trailing-12-month highway awards in Vulcan's markets were up 12% and public infrastructure awards up 17% as of Q1, both far outpacing the broader U.S.), the pace of data-center-related shipments (which management said are converting from backlog to shipments faster than typical private non-res work — as fast as 2–3 months versus a historical 6-month lag), and whether residential construction remains a drag or shows any "green shoots" (multifamily was the one bright spot flagged).</w:t>
      </w:r>
    </w:p>
    <w:bookmarkEnd w:id="13"/>
    <w:bookmarkStart w:id="14" w:name="X735c1645d5e08e5ef0dad41d236036cf322a23f"/>
    <w:p>
      <w:pPr>
        <w:pStyle w:val="Heading3"/>
      </w:pPr>
      <w:r>
        <w:t xml:space="preserve">4. Federal highway bill reauthorization</w:t>
      </w:r>
    </w:p>
    <w:p>
      <w:pPr>
        <w:pStyle w:val="FirstParagraph"/>
      </w:pPr>
      <w:r>
        <w:t xml:space="preserve">The IIJA expires later in 2026, and Congress is mid-process on a reauthorization bill. Management has expressed confidence that any outcome — including a continuing resolution — sustains current spending levels, and that a new bill would likely fund at higher levels than IIJA. Any incremental news here (bill size, timing) will matter for the multi-year demand algorithm, especially with only about 45–50% of IIJA dollars spent to date providing a long runway regardless of the political outcome.</w:t>
      </w:r>
    </w:p>
    <w:bookmarkEnd w:id="14"/>
    <w:bookmarkStart w:id="15" w:name="X2487e4467301e0b90a51fc7c51b2bab1a1d6dcb"/>
    <w:p>
      <w:pPr>
        <w:pStyle w:val="Heading3"/>
      </w:pPr>
      <w:r>
        <w:t xml:space="preserve">5. M&amp;A and capital deployment</w:t>
      </w:r>
    </w:p>
    <w:p>
      <w:pPr>
        <w:pStyle w:val="FirstParagraph"/>
      </w:pPr>
      <w:r>
        <w:t xml:space="preserve">Vulcan flagged an active acquisition pipeline with several bolt-on deals expected to close "in coming months," alongside continued greenfield investment (new plants in Arizona, Texas, and South Carolina) and distribution yard additions. With leverage well within target range and strong free cash flow, watch for updates on deal timing/size and continued share repurchase pace (buybacks were accelerating, +$149M in Q1 alone).</w:t>
      </w:r>
    </w:p>
    <w:bookmarkEnd w:id="15"/>
    <w:bookmarkStart w:id="16" w:name="Xe2f8a15bfa068c0c0fa6e4b5794a66f27ab3e67"/>
    <w:p>
      <w:pPr>
        <w:pStyle w:val="Heading3"/>
      </w:pPr>
      <w:r>
        <w:t xml:space="preserve">6. The NAFTA arbitration overhang (now resolved, negatively)</w:t>
      </w:r>
    </w:p>
    <w:p>
      <w:pPr>
        <w:pStyle w:val="FirstParagraph"/>
      </w:pPr>
      <w:r>
        <w:t xml:space="preserve">Just ahead of earnings, Vulcan disclosed on July 27 that the NAFTA arbitration tribunal ruled Mexico had violated the agreement in several respects related to the 2018 shutdown of its Quintana Roo limestone operations, but awarded only a token amount — reports pegged the compensation at roughly $15 million, less than 1% of the $1.7 billion Vulcan had sought. This closes out a long-running legal overhang but removes any hope of a material cash windfall; expect a brief mention on the call but limited financial statement impact given the immateriality of the award.</w:t>
      </w:r>
    </w:p>
    <w:bookmarkEnd w:id="16"/>
    <w:bookmarkStart w:id="17" w:name="X843728c0ecbb9eddd3b6863a8728ea3155992b0"/>
    <w:p>
      <w:pPr>
        <w:pStyle w:val="Heading3"/>
      </w:pPr>
      <w:r>
        <w:t xml:space="preserve">7. Long-term framework: the "$20 per ton" target</w:t>
      </w:r>
    </w:p>
    <w:p>
      <w:pPr>
        <w:pStyle w:val="FirstParagraph"/>
      </w:pPr>
      <w:r>
        <w:t xml:space="preserve">At its March 2026 Investor Day, Vulcan laid out a new medium-term target of $20 of aggregates cash gross profit per ton (versus $11.33 exiting 2025), which management said would roughly double adjusted EBITDA to</w:t>
      </w:r>
      <w:r>
        <w:t xml:space="preserve"> </w:t>
      </w:r>
      <m:oMath>
        <m:r>
          <m:t>4.5</m:t>
        </m:r>
        <m:r>
          <m:rPr>
            <m:sty m:val="p"/>
          </m:rPr>
          <m:t>–</m:t>
        </m:r>
      </m:oMath>
      <w:r>
        <w:t xml:space="preserve">5.0 billion, achieved organically on largely the same ~260–270 million ton volume base used for its prior (</w:t>
      </w:r>
      <m:oMath>
        <m:r>
          <m:t>11</m:t>
        </m:r>
        <m:r>
          <m:rPr>
            <m:sty m:val="p"/>
          </m:rPr>
          <m:t>–</m:t>
        </m:r>
      </m:oMath>
      <w:r>
        <w:t xml:space="preserve">12) target — with any incremental demand or M&amp;A as upside. Investors will be listening for any commentary reaffirming trajectory toward this target amid the near-term cost noise.</w:t>
      </w:r>
    </w:p>
    <w:p>
      <w:r>
        <w:pict>
          <v:rect style="width:0;height:1.5pt" o:hralign="center" o:hrstd="t" o:hr="t"/>
        </w:pict>
      </w:r>
    </w:p>
    <w:bookmarkEnd w:id="17"/>
    <w:bookmarkEnd w:id="18"/>
    <w:bookmarkStart w:id="19" w:name="bottom-line"/>
    <w:p>
      <w:pPr>
        <w:pStyle w:val="Heading2"/>
      </w:pPr>
      <w:r>
        <w:t xml:space="preserve">Bottom Line</w:t>
      </w:r>
    </w:p>
    <w:p>
      <w:pPr>
        <w:pStyle w:val="FirstParagraph"/>
      </w:pPr>
      <w:r>
        <w:t xml:space="preserve">Q2 2026 is a "show-me" quarter on cost control. Vulcan pre-announced the diesel headwind in unusual detail last quarter, so the market's focus will be less on whether costs rose (they should have, by design) and more on (1) whether the drag was contained to the guided magnitude, (2) evidence that midyear pricing actions are already flowing through, and (3) reaffirmation of the full-year</w:t>
      </w:r>
      <w:r>
        <w:t xml:space="preserve"> </w:t>
      </w:r>
      <m:oMath>
        <m:r>
          <m:t>2.4</m:t>
        </m:r>
        <m:r>
          <m:rPr>
            <m:sty m:val="p"/>
          </m:rPr>
          <m:t>–</m:t>
        </m:r>
      </m:oMath>
      <w:r>
        <w:t xml:space="preserve">2.6 billion adjusted EBITDA outlook. With the stock trading well below average analyst price targets after a pullback over the past month, a "clean" quarter that confirms the back-half acceleration narrative — pricing up, costs moderating, data-center/public demand intact — could be a positive catalyst; any sign that cost inflation is broadening beyond diesel or that demand (particularly private non-residential ex-data-centers) is softening would likely weigh on shares given the stock's still-premium valuation relative to history.</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2026-07-29T00:55:18Z</dcterms:created>
  <dcterms:modified xsi:type="dcterms:W3CDTF">2026-07-29T00:55:18Z</dcterms:modified>
</cp:coreProperties>
</file>

<file path=docProps/custom.xml><?xml version="1.0" encoding="utf-8"?>
<Properties xmlns="http://schemas.openxmlformats.org/officeDocument/2006/custom-properties" xmlns:vt="http://schemas.openxmlformats.org/officeDocument/2006/docPropsVTypes"/>
</file>