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mc-earnings-predictions--2026-07-29"/>
    <w:p>
      <w:pPr>
        <w:pStyle w:val="Heading1"/>
      </w:pPr>
      <w:r>
        <w:t xml:space="preserve">VMC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VMC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~$2.54 vs. cons $2.50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VMC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~$2.15B vs. cons $2.16B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VMC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Aggregates segment gross profit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~$575M vs. cons $568M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VMC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~$2.50B midpoint vs. cons $2.484B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VMC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Aggregates shipment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~2.0% midpoint vs. cons 2.0%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VMC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Freight-adjusted aggregates price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~5.0% midpoint vs. cons 5.0%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VMC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Aggregates unit cash-cost inflation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~3.0% vs. cons 3.5%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VMC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+1.3%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VMC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+0.4% (FADE)</w:t>
            </w:r>
          </w:p>
        </w:tc>
        <w:tc>
          <w:tcPr/>
          <w:p>
            <w:pPr>
              <w:pStyle w:val="Compact"/>
            </w:pPr>
            <w:r>
              <w:t xml:space="preserve">A modest Q2 operating beat supports an initial positive reaction, but an unchanged ~</w:t>
            </w:r>
            <m:oMath>
              <m:r>
                <m:t>2.50</m:t>
              </m:r>
              <m:r>
                <m:t>B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E</m:t>
              </m:r>
              <m:r>
                <m:t>B</m:t>
              </m:r>
              <m:r>
                <m:t>I</m:t>
              </m:r>
              <m:r>
                <m:t>T</m:t>
              </m:r>
              <m:r>
                <m:t>D</m:t>
              </m:r>
              <m:r>
                <m:t>A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2.484B consensus provides limited out-period upside; only small Q3/Q4 estimate revisions are likely, causing most of the day-1 gain to fade.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2026-07-29T00:54:47Z</dcterms:created>
  <dcterms:modified xsi:type="dcterms:W3CDTF">2026-07-29T00:54:47Z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