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60f9f4bf5438702ce203463d2b0da8f859b4b15"/>
    <w:p>
      <w:pPr>
        <w:pStyle w:val="Heading1"/>
      </w:pPr>
      <w:r>
        <w:t xml:space="preserve">Vulcan Materials (NYSE: VMC) — Q2 2026 Earnings Preview</w:t>
      </w:r>
    </w:p>
    <w:p>
      <w:pPr>
        <w:pStyle w:val="BlockText"/>
      </w:pPr>
      <w:r>
        <w:rPr>
          <w:b/>
          <w:bCs/>
        </w:rPr>
        <w:t xml:space="preserve">Timing clarification:</w:t>
      </w:r>
      <w:r>
        <w:t xml:space="preserve"> </w:t>
      </w:r>
      <w:r>
        <w:t xml:space="preserve">Vulcan is scheduled to report</w:t>
      </w:r>
      <w:r>
        <w:t xml:space="preserve"> </w:t>
      </w:r>
      <w:r>
        <w:rPr>
          <w:b/>
          <w:bCs/>
        </w:rPr>
        <w:t xml:space="preserve">today, Wednesday, July 29, 2026</w:t>
      </w:r>
      <w:r>
        <w:t xml:space="preserve">, before the NYSE opens—not tomorrow. The conference call is scheduled for</w:t>
      </w:r>
      <w:r>
        <w:t xml:space="preserve"> </w:t>
      </w:r>
      <w:r>
        <w:rPr>
          <w:b/>
          <w:bCs/>
        </w:rPr>
        <w:t xml:space="preserve">10:00 a.m. ET</w:t>
      </w:r>
      <w:r>
        <w:t xml:space="preserve">. (</w:t>
      </w:r>
      <w:hyperlink r:id="rId9">
        <w:r>
          <w:rPr>
            <w:rStyle w:val="Hyperlink"/>
          </w:rPr>
          <w:t xml:space="preserve">vulcanmaterials.com</w:t>
        </w:r>
      </w:hyperlink>
      <w:r>
        <w:t xml:space="preserve">)</w:t>
      </w:r>
    </w:p>
    <w:bookmarkStart w:id="10" w:name="investment-view-going-into-the-report"/>
    <w:p>
      <w:pPr>
        <w:pStyle w:val="Heading2"/>
      </w:pPr>
      <w:r>
        <w:t xml:space="preserve">Investment view going into the report</w:t>
      </w:r>
    </w:p>
    <w:p>
      <w:pPr>
        <w:pStyle w:val="FirstParagraph"/>
      </w:pPr>
      <w:r>
        <w:t xml:space="preserve">This quarter is less about whether Vulcan clears the published EPS estimate and more about whether it can protect</w:t>
      </w:r>
      <w:r>
        <w:t xml:space="preserve"> </w:t>
      </w:r>
      <w:r>
        <w:rPr>
          <w:b/>
          <w:bCs/>
        </w:rPr>
        <w:t xml:space="preserve">aggregates unit profitability</w:t>
      </w:r>
      <w:r>
        <w:t xml:space="preserve"> </w:t>
      </w:r>
      <w:r>
        <w:t xml:space="preserve">through a sharp, management-flagged increase in diesel costs.</w:t>
      </w:r>
    </w:p>
    <w:p>
      <w:pPr>
        <w:pStyle w:val="BodyText"/>
      </w:pPr>
      <w:r>
        <w:t xml:space="preserve">The central debate is straightforward:</w:t>
      </w:r>
    </w:p>
    <w:p>
      <w:pPr>
        <w:pStyle w:val="Compact"/>
        <w:numPr>
          <w:ilvl w:val="0"/>
          <w:numId w:val="1001"/>
        </w:numPr>
      </w:pPr>
      <w:r>
        <w:rPr>
          <w:b/>
          <w:bCs/>
        </w:rPr>
        <w:t xml:space="preserve">Demand and pricing appear healthy</w:t>
      </w:r>
      <w:r>
        <w:t xml:space="preserve">, supported by public infrastructure, data centers and other large private projects.</w:t>
      </w:r>
    </w:p>
    <w:p>
      <w:pPr>
        <w:pStyle w:val="Compact"/>
        <w:numPr>
          <w:ilvl w:val="0"/>
          <w:numId w:val="1001"/>
        </w:numPr>
      </w:pPr>
      <w:r>
        <w:rPr>
          <w:b/>
          <w:bCs/>
        </w:rPr>
        <w:t xml:space="preserve">Second-quarter costs are the pressure point</w:t>
      </w:r>
      <w:r>
        <w:t xml:space="preserve">, with management previously estimating an approximately</w:t>
      </w:r>
      <w:r>
        <w:t xml:space="preserve"> </w:t>
      </w:r>
      <w:r>
        <w:rPr>
          <w:b/>
          <w:bCs/>
        </w:rPr>
        <w:t xml:space="preserve">$25 million diesel headwind</w:t>
      </w:r>
      <w:r>
        <w:t xml:space="preserve"> </w:t>
      </w:r>
      <w:r>
        <w:t xml:space="preserve">and warning that aggregates unit cash-cost inflation could reach the high-single digits.</w:t>
      </w:r>
    </w:p>
    <w:p>
      <w:pPr>
        <w:pStyle w:val="Compact"/>
        <w:numPr>
          <w:ilvl w:val="0"/>
          <w:numId w:val="1001"/>
        </w:numPr>
      </w:pPr>
      <w:r>
        <w:t xml:space="preserve">Vulcan has already responded with midyear price increases across its markets, but most of the benefit should arrive after the quarter.</w:t>
      </w:r>
    </w:p>
    <w:p>
      <w:pPr>
        <w:pStyle w:val="Compact"/>
        <w:numPr>
          <w:ilvl w:val="0"/>
          <w:numId w:val="1001"/>
        </w:numPr>
      </w:pPr>
      <w:r>
        <w:t xml:space="preserve">The most consequential outputs will therefore be</w:t>
      </w:r>
      <w:r>
        <w:t xml:space="preserve"> </w:t>
      </w:r>
      <w:r>
        <w:rPr>
          <w:b/>
          <w:bCs/>
        </w:rPr>
        <w:t xml:space="preserve">cash gross profit per ton, second-half pricing commentary and the status of the</w:t>
      </w:r>
      <w:r>
        <w:rPr>
          <w:b/>
          <w:bCs/>
        </w:rPr>
        <w:t xml:space="preserve"> </w:t>
      </w:r>
      <m:oMath>
        <m:r>
          <m:t>2.4</m:t>
        </m:r>
        <m:r>
          <m:rPr>
            <m:sty m:val="p"/>
          </m:rPr>
          <m:t>–</m:t>
        </m:r>
      </m:oMath>
      <w:r>
        <w:rPr>
          <w:b/>
          <w:bCs/>
        </w:rPr>
        <w:t xml:space="preserve">2.6 billion full-year adjusted EBITDA outlook</w:t>
      </w:r>
      <w:r>
        <w:t xml:space="preserve">.</w:t>
      </w:r>
    </w:p>
    <w:p>
      <w:pPr>
        <w:pStyle w:val="FirstParagraph"/>
      </w:pPr>
      <w:r>
        <w:t xml:space="preserve">A modest EPS beat accompanied by weaker unit margins or a guidance reduction would not be especially reassuring. Conversely, stable-to-higher cash gross profit per ton despite the diesel squeeze would be a high-quality result.</w:t>
      </w:r>
    </w:p>
    <w:p>
      <w:r>
        <w:pict>
          <v:rect style="width:0;height:1.5pt" o:hralign="center" o:hrstd="t" o:hr="t"/>
        </w:pict>
      </w:r>
    </w:p>
    <w:bookmarkEnd w:id="10"/>
    <w:bookmarkStart w:id="12" w:name="headline-expectations"/>
    <w:p>
      <w:pPr>
        <w:pStyle w:val="Heading2"/>
      </w:pPr>
      <w:r>
        <w:t xml:space="preserve">Headline expectations</w:t>
      </w:r>
    </w:p>
    <w:p>
      <w:pPr>
        <w:pStyle w:val="FirstParagraph"/>
      </w:pPr>
      <w:r>
        <w:t xml:space="preserve">Published consensus varies modestly by service, but the central estimates are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Approx. YoY</w:t>
            </w:r>
          </w:p>
        </w:tc>
      </w:tr>
      <w:tr>
        <w:tc>
          <w:tcPr/>
          <w:p>
            <w:pPr>
              <w:pStyle w:val="Compact"/>
            </w:pPr>
            <w:r>
              <w:t xml:space="preserve">Revenue</w:t>
            </w:r>
          </w:p>
        </w:tc>
        <w:tc>
          <w:tcPr/>
          <w:p>
            <w:pPr>
              <w:pStyle w:val="Compact"/>
              <w:jc w:val="right"/>
            </w:pPr>
            <w:r>
              <w:rPr>
                <w:b/>
                <w:bCs/>
              </w:rPr>
              <w:t xml:space="preserve">$2.14 billion</w:t>
            </w:r>
          </w:p>
        </w:tc>
        <w:tc>
          <w:tcPr/>
          <w:p>
            <w:pPr>
              <w:pStyle w:val="Compact"/>
              <w:jc w:val="right"/>
            </w:pPr>
            <w:r>
              <w:t xml:space="preserve">$2.10 billion</w:t>
            </w:r>
          </w:p>
        </w:tc>
        <w:tc>
          <w:tcPr/>
          <w:p>
            <w:pPr>
              <w:pStyle w:val="Compact"/>
              <w:jc w:val="right"/>
            </w:pPr>
            <w:r>
              <w:t xml:space="preserve">+2%</w:t>
            </w:r>
          </w:p>
        </w:tc>
      </w:tr>
      <w:tr>
        <w:tc>
          <w:tcPr/>
          <w:p>
            <w:pPr>
              <w:pStyle w:val="Compact"/>
            </w:pPr>
            <w:r>
              <w:t xml:space="preserve">Adjusted EPS</w:t>
            </w:r>
          </w:p>
        </w:tc>
        <w:tc>
          <w:tcPr/>
          <w:p>
            <w:pPr>
              <w:pStyle w:val="Compact"/>
              <w:jc w:val="right"/>
            </w:pPr>
            <m:oMath>
              <m:r>
                <m:t>2.49</m:t>
              </m:r>
              <m:r>
                <m:rPr>
                  <m:sty m:val="p"/>
                </m:rPr>
                <m:t>–</m:t>
              </m:r>
            </m:oMath>
            <w:r>
              <w:rPr>
                <w:b/>
                <w:bCs/>
              </w:rPr>
              <w:t xml:space="preserve">2.50</w:t>
            </w:r>
          </w:p>
        </w:tc>
        <w:tc>
          <w:tcPr/>
          <w:p>
            <w:pPr>
              <w:pStyle w:val="Compact"/>
              <w:jc w:val="right"/>
            </w:pPr>
            <w:r>
              <w:t xml:space="preserve">$2.45</w:t>
            </w:r>
          </w:p>
        </w:tc>
        <w:tc>
          <w:tcPr/>
          <w:p>
            <w:pPr>
              <w:pStyle w:val="Compact"/>
              <w:jc w:val="right"/>
            </w:pPr>
            <w:r>
              <w:t xml:space="preserve">+2%</w:t>
            </w:r>
          </w:p>
        </w:tc>
      </w:tr>
      <w:tr>
        <w:tc>
          <w:tcPr/>
          <w:p>
            <w:pPr>
              <w:pStyle w:val="Compact"/>
            </w:pPr>
            <w:r>
              <w:t xml:space="preserve">Adjusted EBITDA</w:t>
            </w:r>
          </w:p>
        </w:tc>
        <w:tc>
          <w:tcPr/>
          <w:p>
            <w:pPr>
              <w:pStyle w:val="Compact"/>
              <w:jc w:val="right"/>
            </w:pPr>
            <w:r>
              <w:t xml:space="preserve">No dependable public consensus</w:t>
            </w:r>
          </w:p>
        </w:tc>
        <w:tc>
          <w:tcPr/>
          <w:p>
            <w:pPr>
              <w:pStyle w:val="Compact"/>
              <w:jc w:val="right"/>
            </w:pPr>
            <w:r>
              <w:t xml:space="preserve">$659.5 million</w:t>
            </w:r>
          </w:p>
        </w:tc>
        <w:tc>
          <w:tcPr/>
          <w:p>
            <w:pPr>
              <w:pStyle w:val="Compact"/>
              <w:jc w:val="right"/>
            </w:pPr>
            <w:r>
              <w:t xml:space="preserve">—</w:t>
            </w:r>
          </w:p>
        </w:tc>
      </w:tr>
      <w:tr>
        <w:tc>
          <w:tcPr/>
          <w:p>
            <w:pPr>
              <w:pStyle w:val="Compact"/>
            </w:pPr>
            <w:r>
              <w:t xml:space="preserve">Aggregates shipments</w:t>
            </w:r>
          </w:p>
        </w:tc>
        <w:tc>
          <w:tcPr/>
          <w:p>
            <w:pPr>
              <w:pStyle w:val="Compact"/>
              <w:jc w:val="right"/>
            </w:pPr>
            <w:r>
              <w:t xml:space="preserve">No formal consensus</w:t>
            </w:r>
          </w:p>
        </w:tc>
        <w:tc>
          <w:tcPr/>
          <w:p>
            <w:pPr>
              <w:pStyle w:val="Compact"/>
              <w:jc w:val="right"/>
            </w:pPr>
            <w:r>
              <w:t xml:space="preserve">59.3 million tons</w:t>
            </w:r>
          </w:p>
        </w:tc>
        <w:tc>
          <w:tcPr/>
          <w:p>
            <w:pPr>
              <w:pStyle w:val="Compact"/>
              <w:jc w:val="right"/>
            </w:pPr>
            <w:r>
              <w:t xml:space="preserve">—</w:t>
            </w:r>
          </w:p>
        </w:tc>
      </w:tr>
      <w:tr>
        <w:tc>
          <w:tcPr/>
          <w:p>
            <w:pPr>
              <w:pStyle w:val="Compact"/>
            </w:pPr>
            <w:r>
              <w:t xml:space="preserve">Aggregates price/ton</w:t>
            </w:r>
          </w:p>
        </w:tc>
        <w:tc>
          <w:tcPr/>
          <w:p>
            <w:pPr>
              <w:pStyle w:val="Compact"/>
              <w:jc w:val="right"/>
            </w:pPr>
            <w:r>
              <w:t xml:space="preserve">No formal consensus</w:t>
            </w:r>
          </w:p>
        </w:tc>
        <w:tc>
          <w:tcPr/>
          <w:p>
            <w:pPr>
              <w:pStyle w:val="Compact"/>
              <w:jc w:val="right"/>
            </w:pPr>
            <w:r>
              <w:t xml:space="preserve">$22.11</w:t>
            </w:r>
          </w:p>
        </w:tc>
        <w:tc>
          <w:tcPr/>
          <w:p>
            <w:pPr>
              <w:pStyle w:val="Compact"/>
              <w:jc w:val="right"/>
            </w:pPr>
            <w:r>
              <w:t xml:space="preserve">—</w:t>
            </w:r>
          </w:p>
        </w:tc>
      </w:tr>
      <w:tr>
        <w:tc>
          <w:tcPr/>
          <w:p>
            <w:pPr>
              <w:pStyle w:val="Compact"/>
            </w:pPr>
            <w:r>
              <w:t xml:space="preserve">Aggregates cash gross profit/ton</w:t>
            </w:r>
          </w:p>
        </w:tc>
        <w:tc>
          <w:tcPr/>
          <w:p>
            <w:pPr>
              <w:pStyle w:val="Compact"/>
              <w:jc w:val="right"/>
            </w:pPr>
            <w:r>
              <w:t xml:space="preserve">No formal consensus</w:t>
            </w:r>
          </w:p>
        </w:tc>
        <w:tc>
          <w:tcPr/>
          <w:p>
            <w:pPr>
              <w:pStyle w:val="Compact"/>
              <w:jc w:val="right"/>
            </w:pPr>
            <w:r>
              <w:t xml:space="preserve">$11.88</w:t>
            </w:r>
          </w:p>
        </w:tc>
        <w:tc>
          <w:tcPr/>
          <w:p>
            <w:pPr>
              <w:pStyle w:val="Compact"/>
              <w:jc w:val="right"/>
            </w:pPr>
            <w:r>
              <w:t xml:space="preserve">—</w:t>
            </w:r>
          </w:p>
        </w:tc>
      </w:tr>
    </w:tbl>
    <w:p>
      <w:pPr>
        <w:pStyle w:val="BodyText"/>
      </w:pPr>
      <w:r>
        <w:t xml:space="preserve">The principal published consensus is approximately $2.49 of EPS and $2.14 billion of revenue, although individual services range as high as $2.59 for EPS. (</w:t>
      </w:r>
      <w:hyperlink r:id="rId11">
        <w:r>
          <w:rPr>
            <w:rStyle w:val="Hyperlink"/>
          </w:rPr>
          <w:t xml:space="preserve">marketbeat.com</w:t>
        </w:r>
      </w:hyperlink>
      <w:r>
        <w:t xml:space="preserve">)</w:t>
      </w:r>
    </w:p>
    <w:p>
      <w:pPr>
        <w:pStyle w:val="BodyText"/>
      </w:pPr>
      <w:r>
        <w:t xml:space="preserve">Revenue and EPS comparisons are complicated by the June disposal of Vulcan’s California ready-mixed concrete operations, meaning the aggregates KPIs should provide a cleaner view of underlying performance.</w:t>
      </w:r>
    </w:p>
    <w:p>
      <w:r>
        <w:pict>
          <v:rect style="width:0;height:1.5pt" o:hralign="center" o:hrstd="t" o:hr="t"/>
        </w:pict>
      </w:r>
    </w:p>
    <w:bookmarkEnd w:id="12"/>
    <w:bookmarkStart w:id="15" w:name="what-vulcan-said-entering-q2"/>
    <w:p>
      <w:pPr>
        <w:pStyle w:val="Heading2"/>
      </w:pPr>
      <w:r>
        <w:t xml:space="preserve">What Vulcan said entering Q2</w:t>
      </w:r>
    </w:p>
    <w:p>
      <w:pPr>
        <w:pStyle w:val="FirstParagraph"/>
      </w:pPr>
      <w:r>
        <w:t xml:space="preserve">Vulcan’s first quarter was solid:</w:t>
      </w:r>
    </w:p>
    <w:p>
      <w:pPr>
        <w:pStyle w:val="Compact"/>
        <w:numPr>
          <w:ilvl w:val="0"/>
          <w:numId w:val="1002"/>
        </w:numPr>
      </w:pPr>
      <w:r>
        <w:t xml:space="preserve">Revenue increased 7% to</w:t>
      </w:r>
      <w:r>
        <w:t xml:space="preserve"> </w:t>
      </w:r>
      <w:r>
        <w:rPr>
          <w:b/>
          <w:bCs/>
        </w:rPr>
        <w:t xml:space="preserve">$1.76 billion</w:t>
      </w:r>
      <w:r>
        <w:t xml:space="preserve">.</w:t>
      </w:r>
    </w:p>
    <w:p>
      <w:pPr>
        <w:pStyle w:val="Compact"/>
        <w:numPr>
          <w:ilvl w:val="0"/>
          <w:numId w:val="1002"/>
        </w:numPr>
      </w:pPr>
      <w:r>
        <w:t xml:space="preserve">Adjusted EBITDA increased 9% to</w:t>
      </w:r>
      <w:r>
        <w:t xml:space="preserve"> </w:t>
      </w:r>
      <w:r>
        <w:rPr>
          <w:b/>
          <w:bCs/>
        </w:rPr>
        <w:t xml:space="preserve">$447 million</w:t>
      </w:r>
      <w:r>
        <w:t xml:space="preserve">.</w:t>
      </w:r>
    </w:p>
    <w:p>
      <w:pPr>
        <w:pStyle w:val="Compact"/>
        <w:numPr>
          <w:ilvl w:val="0"/>
          <w:numId w:val="1002"/>
        </w:numPr>
      </w:pPr>
      <w:r>
        <w:t xml:space="preserve">Aggregates shipments increased 5%.</w:t>
      </w:r>
    </w:p>
    <w:p>
      <w:pPr>
        <w:pStyle w:val="Compact"/>
        <w:numPr>
          <w:ilvl w:val="0"/>
          <w:numId w:val="1002"/>
        </w:numPr>
      </w:pPr>
      <w:r>
        <w:t xml:space="preserve">Reported freight-adjusted aggregates price increased 3.5%; mix-adjusted price increased approximately 4%.</w:t>
      </w:r>
    </w:p>
    <w:p>
      <w:pPr>
        <w:pStyle w:val="Compact"/>
        <w:numPr>
          <w:ilvl w:val="0"/>
          <w:numId w:val="1002"/>
        </w:numPr>
      </w:pPr>
      <w:r>
        <w:t xml:space="preserve">Cash gross profit per ton increased to</w:t>
      </w:r>
      <w:r>
        <w:t xml:space="preserve"> </w:t>
      </w:r>
      <w:r>
        <w:rPr>
          <w:b/>
          <w:bCs/>
        </w:rPr>
        <w:t xml:space="preserve">$10.93</w:t>
      </w:r>
      <w:r>
        <w:t xml:space="preserve">, from $10.63.</w:t>
      </w:r>
    </w:p>
    <w:p>
      <w:pPr>
        <w:pStyle w:val="Compact"/>
        <w:numPr>
          <w:ilvl w:val="0"/>
          <w:numId w:val="1002"/>
        </w:numPr>
      </w:pPr>
      <w:r>
        <w:t xml:space="preserve">The company reaffirmed its</w:t>
      </w:r>
      <w:r>
        <w:t xml:space="preserve"> </w:t>
      </w:r>
      <m:oMath>
        <m:r>
          <m:t>2.4</m:t>
        </m:r>
        <m:r>
          <m:rPr>
            <m:sty m:val="p"/>
          </m:rPr>
          <m:t>–</m:t>
        </m:r>
      </m:oMath>
      <w:r>
        <w:rPr>
          <w:b/>
          <w:bCs/>
        </w:rPr>
        <w:t xml:space="preserve">2.6 billion</w:t>
      </w:r>
      <w:r>
        <w:t xml:space="preserve"> </w:t>
      </w:r>
      <w:r>
        <w:t xml:space="preserve">full-year adjusted EBITDA outlook. (</w:t>
      </w:r>
      <w:hyperlink r:id="rId13">
        <w:r>
          <w:rPr>
            <w:rStyle w:val="Hyperlink"/>
          </w:rPr>
          <w:t xml:space="preserve">vulcanmaterials.com</w:t>
        </w:r>
      </w:hyperlink>
      <w:r>
        <w:t xml:space="preserve">)</w:t>
      </w:r>
    </w:p>
    <w:p>
      <w:pPr>
        <w:pStyle w:val="FirstParagraph"/>
      </w:pPr>
      <w:r>
        <w:t xml:space="preserve">The original 2026 framework calls for:</w:t>
      </w:r>
    </w:p>
    <w:p>
      <w:pPr>
        <w:pStyle w:val="Compact"/>
        <w:numPr>
          <w:ilvl w:val="0"/>
          <w:numId w:val="1003"/>
        </w:numPr>
      </w:pPr>
      <w:r>
        <w:t xml:space="preserve">Aggregates shipments up</w:t>
      </w:r>
      <w:r>
        <w:t xml:space="preserve"> </w:t>
      </w:r>
      <w:r>
        <w:rPr>
          <w:b/>
          <w:bCs/>
        </w:rPr>
        <w:t xml:space="preserve">1%–3%</w:t>
      </w:r>
    </w:p>
    <w:p>
      <w:pPr>
        <w:pStyle w:val="Compact"/>
        <w:numPr>
          <w:ilvl w:val="0"/>
          <w:numId w:val="1003"/>
        </w:numPr>
      </w:pPr>
      <w:r>
        <w:t xml:space="preserve">Freight-adjusted price up</w:t>
      </w:r>
      <w:r>
        <w:t xml:space="preserve"> </w:t>
      </w:r>
      <w:r>
        <w:rPr>
          <w:b/>
          <w:bCs/>
        </w:rPr>
        <w:t xml:space="preserve">4%–6%</w:t>
      </w:r>
    </w:p>
    <w:p>
      <w:pPr>
        <w:pStyle w:val="Compact"/>
        <w:numPr>
          <w:ilvl w:val="0"/>
          <w:numId w:val="1003"/>
        </w:numPr>
      </w:pPr>
      <w:r>
        <w:t xml:space="preserve">Low-single-digit unit cash-cost inflation</w:t>
      </w:r>
    </w:p>
    <w:p>
      <w:pPr>
        <w:pStyle w:val="Compact"/>
        <w:numPr>
          <w:ilvl w:val="0"/>
          <w:numId w:val="1003"/>
        </w:numPr>
      </w:pPr>
      <w:r>
        <w:t xml:space="preserve">Approximately</w:t>
      </w:r>
      <w:r>
        <w:t xml:space="preserve"> </w:t>
      </w:r>
      <w:r>
        <w:rPr>
          <w:b/>
          <w:bCs/>
        </w:rPr>
        <w:t xml:space="preserve">$290 million</w:t>
      </w:r>
      <w:r>
        <w:t xml:space="preserve"> </w:t>
      </w:r>
      <w:r>
        <w:t xml:space="preserve">of asphalt and concrete cash gross profit, excluding the California concrete business</w:t>
      </w:r>
    </w:p>
    <w:p>
      <w:pPr>
        <w:pStyle w:val="Compact"/>
        <w:numPr>
          <w:ilvl w:val="0"/>
          <w:numId w:val="1003"/>
        </w:numPr>
      </w:pPr>
      <w:r>
        <w:t xml:space="preserve">SAG expense of</w:t>
      </w:r>
      <w:r>
        <w:t xml:space="preserve"> </w:t>
      </w:r>
      <m:oMath>
        <m:r>
          <m:t>580</m:t>
        </m:r>
        <m:r>
          <m:rPr>
            <m:sty m:val="p"/>
          </m:rPr>
          <m:t>–</m:t>
        </m:r>
      </m:oMath>
      <w:r>
        <w:rPr>
          <w:b/>
          <w:bCs/>
        </w:rPr>
        <w:t xml:space="preserve">590 million</w:t>
      </w:r>
    </w:p>
    <w:p>
      <w:pPr>
        <w:pStyle w:val="Compact"/>
        <w:numPr>
          <w:ilvl w:val="0"/>
          <w:numId w:val="1003"/>
        </w:numPr>
      </w:pPr>
      <w:r>
        <w:t xml:space="preserve">Capital spending of</w:t>
      </w:r>
      <w:r>
        <w:t xml:space="preserve"> </w:t>
      </w:r>
      <m:oMath>
        <m:r>
          <m:t>750</m:t>
        </m:r>
        <m:r>
          <m:rPr>
            <m:sty m:val="p"/>
          </m:rPr>
          <m:t>–</m:t>
        </m:r>
      </m:oMath>
      <w:r>
        <w:rPr>
          <w:b/>
          <w:bCs/>
        </w:rPr>
        <w:t xml:space="preserve">800 million</w:t>
      </w:r>
    </w:p>
    <w:p>
      <w:pPr>
        <w:pStyle w:val="Compact"/>
        <w:numPr>
          <w:ilvl w:val="0"/>
          <w:numId w:val="1003"/>
        </w:numPr>
      </w:pPr>
      <w:r>
        <w:t xml:space="preserve">Adjusted EBITDA of</w:t>
      </w:r>
      <w:r>
        <w:t xml:space="preserve"> </w:t>
      </w:r>
      <m:oMath>
        <m:r>
          <m:t>2.4</m:t>
        </m:r>
        <m:r>
          <m:rPr>
            <m:sty m:val="p"/>
          </m:rPr>
          <m:t>–</m:t>
        </m:r>
      </m:oMath>
      <w:r>
        <w:rPr>
          <w:b/>
          <w:bCs/>
        </w:rPr>
        <w:t xml:space="preserve">2.6 billion</w:t>
      </w:r>
      <w:r>
        <w:t xml:space="preserve"> </w:t>
      </w:r>
      <w:r>
        <w:t xml:space="preserve">(</w:t>
      </w:r>
      <w:hyperlink r:id="rId14">
        <w:r>
          <w:rPr>
            <w:rStyle w:val="Hyperlink"/>
          </w:rPr>
          <w:t xml:space="preserve">vulcanmaterials.com</w:t>
        </w:r>
      </w:hyperlink>
      <w:r>
        <w:t xml:space="preserve">)</w:t>
      </w:r>
    </w:p>
    <w:p>
      <w:pPr>
        <w:pStyle w:val="FirstParagraph"/>
      </w:pPr>
      <w:r>
        <w:t xml:space="preserve">Q1 adjusted EBITDA of $447 million left Vulcan needing</w:t>
      </w:r>
      <w:r>
        <w:t xml:space="preserve"> </w:t>
      </w:r>
      <m:oMath>
        <m:r>
          <m:t>1.95</m:t>
        </m:r>
        <m:r>
          <m:rPr>
            <m:sty m:val="p"/>
          </m:rPr>
          <m:t>–</m:t>
        </m:r>
      </m:oMath>
      <w:r>
        <w:t xml:space="preserve">2.15 billion over the final nine months to achieve that range. That remains feasible given the company’s normal seasonal weighting, but the second quarter should reveal how much of the fuel shock the company can absorb without moving toward the low end.</w:t>
      </w:r>
    </w:p>
    <w:p>
      <w:r>
        <w:pict>
          <v:rect style="width:0;height:1.5pt" o:hralign="center" o:hrstd="t" o:hr="t"/>
        </w:pict>
      </w:r>
    </w:p>
    <w:bookmarkEnd w:id="15"/>
    <w:bookmarkStart w:id="23" w:name="the-five-issues-that-matter-most"/>
    <w:p>
      <w:pPr>
        <w:pStyle w:val="Heading2"/>
      </w:pPr>
      <w:r>
        <w:t xml:space="preserve">The five issues that matter most</w:t>
      </w:r>
    </w:p>
    <w:bookmarkStart w:id="16" w:name="X3537a63ce99891282ddd74d0972b5cb15c794dc"/>
    <w:p>
      <w:pPr>
        <w:pStyle w:val="Heading3"/>
      </w:pPr>
      <w:r>
        <w:t xml:space="preserve">1. Diesel costs versus unit profitability</w:t>
      </w:r>
    </w:p>
    <w:p>
      <w:pPr>
        <w:pStyle w:val="FirstParagraph"/>
      </w:pPr>
      <w:r>
        <w:t xml:space="preserve">This is the quarter’s key issue.</w:t>
      </w:r>
    </w:p>
    <w:p>
      <w:pPr>
        <w:pStyle w:val="BodyText"/>
      </w:pPr>
      <w:r>
        <w:t xml:space="preserve">On the Q1 call, management estimated that elevated diesel costs could reduce Q2 earnings by roughly</w:t>
      </w:r>
      <w:r>
        <w:t xml:space="preserve"> </w:t>
      </w:r>
      <w:r>
        <w:rPr>
          <w:b/>
          <w:bCs/>
        </w:rPr>
        <w:t xml:space="preserve">$25 million</w:t>
      </w:r>
      <w:r>
        <w:t xml:space="preserve">. It also suggested aggregates unit cash-cost growth could approach the</w:t>
      </w:r>
      <w:r>
        <w:t xml:space="preserve"> </w:t>
      </w:r>
      <w:r>
        <w:rPr>
          <w:b/>
          <w:bCs/>
        </w:rPr>
        <w:t xml:space="preserve">high-single digits</w:t>
      </w:r>
      <w:r>
        <w:t xml:space="preserve">, compared with 4% in Q1, before pricing and operating actions provide greater relief in the second half.</w:t>
      </w:r>
    </w:p>
    <w:p>
      <w:pPr>
        <w:pStyle w:val="BodyText"/>
      </w:pPr>
      <w:r>
        <w:t xml:space="preserve">That makes</w:t>
      </w:r>
      <w:r>
        <w:t xml:space="preserve"> </w:t>
      </w:r>
      <w:r>
        <w:rPr>
          <w:b/>
          <w:bCs/>
        </w:rPr>
        <w:t xml:space="preserve">cash gross profit per ton</w:t>
      </w:r>
      <w:r>
        <w:t xml:space="preserve"> </w:t>
      </w:r>
      <w:r>
        <w:t xml:space="preserve">the most important metric in the release.</w:t>
      </w:r>
    </w:p>
    <w:p>
      <w:pPr>
        <w:pStyle w:val="BodyText"/>
      </w:pPr>
      <w:r>
        <w:t xml:space="preserve">Last year’s Q2 cash gross profit per ton was a seasonally strong $11.88. A year-over-year decline would not automatically represent an operational failure because the energy comparison is difficult. However:</w:t>
      </w:r>
    </w:p>
    <w:p>
      <w:pPr>
        <w:pStyle w:val="Compact"/>
        <w:numPr>
          <w:ilvl w:val="0"/>
          <w:numId w:val="1004"/>
        </w:numPr>
      </w:pPr>
      <w:r>
        <w:rPr>
          <w:b/>
          <w:bCs/>
        </w:rPr>
        <w:t xml:space="preserve">Bullish:</w:t>
      </w:r>
      <w:r>
        <w:t xml:space="preserve"> </w:t>
      </w:r>
      <w:r>
        <w:t xml:space="preserve">Cash gross profit per ton remains near or above $11.88 despite fuel.</w:t>
      </w:r>
    </w:p>
    <w:p>
      <w:pPr>
        <w:pStyle w:val="Compact"/>
        <w:numPr>
          <w:ilvl w:val="0"/>
          <w:numId w:val="1004"/>
        </w:numPr>
      </w:pPr>
      <w:r>
        <w:rPr>
          <w:b/>
          <w:bCs/>
        </w:rPr>
        <w:t xml:space="preserve">Acceptable:</w:t>
      </w:r>
      <w:r>
        <w:t xml:space="preserve"> </w:t>
      </w:r>
      <w:r>
        <w:t xml:space="preserve">Modest YoY compression, with clear evidence that midyear pricing will restore growth in Q3 and Q4.</w:t>
      </w:r>
    </w:p>
    <w:p>
      <w:pPr>
        <w:pStyle w:val="Compact"/>
        <w:numPr>
          <w:ilvl w:val="0"/>
          <w:numId w:val="1004"/>
        </w:numPr>
      </w:pPr>
      <w:r>
        <w:rPr>
          <w:b/>
          <w:bCs/>
        </w:rPr>
        <w:t xml:space="preserve">Bearish:</w:t>
      </w:r>
      <w:r>
        <w:t xml:space="preserve"> </w:t>
      </w:r>
      <w:r>
        <w:t xml:space="preserve">Material compression plus an increase in the full-year cost forecast or a reduced EBITDA outlook.</w:t>
      </w:r>
    </w:p>
    <w:p>
      <w:pPr>
        <w:pStyle w:val="FirstParagraph"/>
      </w:pPr>
      <w:r>
        <w:t xml:space="preserve">Investors should also distinguish between:</w:t>
      </w:r>
    </w:p>
    <w:p>
      <w:pPr>
        <w:pStyle w:val="Compact"/>
        <w:numPr>
          <w:ilvl w:val="0"/>
          <w:numId w:val="1005"/>
        </w:numPr>
      </w:pPr>
      <w:r>
        <w:t xml:space="preserve">Plant-level diesel costs, which directly pressure aggregates margins;</w:t>
      </w:r>
    </w:p>
    <w:p>
      <w:pPr>
        <w:pStyle w:val="Compact"/>
        <w:numPr>
          <w:ilvl w:val="0"/>
          <w:numId w:val="1005"/>
        </w:numPr>
      </w:pPr>
      <w:r>
        <w:t xml:space="preserve">Delivery fuel, which Vulcan generally treats as a pass-through;</w:t>
      </w:r>
    </w:p>
    <w:p>
      <w:pPr>
        <w:pStyle w:val="Compact"/>
        <w:numPr>
          <w:ilvl w:val="0"/>
          <w:numId w:val="1005"/>
        </w:numPr>
      </w:pPr>
      <w:r>
        <w:t xml:space="preserve">Liquid asphalt costs, where indexed contracts provide only partial and delayed protection.</w:t>
      </w:r>
    </w:p>
    <w:bookmarkEnd w:id="16"/>
    <w:bookmarkStart w:id="17" w:name="X0dbf2dfaf4d8bfdf816fb6699b681106d000712"/>
    <w:p>
      <w:pPr>
        <w:pStyle w:val="Heading3"/>
      </w:pPr>
      <w:r>
        <w:t xml:space="preserve">2. Are midyear price increases sticking?</w:t>
      </w:r>
    </w:p>
    <w:p>
      <w:pPr>
        <w:pStyle w:val="FirstParagraph"/>
      </w:pPr>
      <w:r>
        <w:t xml:space="preserve">Vulcan entered the quarter expecting full-year freight-adjusted price growth of 4%–6%. First-quarter reported growth of 3.5% was below that range, although management cited geographic and product mix and said the mix-adjusted increase was approximately 4%.</w:t>
      </w:r>
    </w:p>
    <w:p>
      <w:pPr>
        <w:pStyle w:val="BodyText"/>
      </w:pPr>
      <w:r>
        <w:t xml:space="preserve">Management subsequently issued midyear increases across all markets and expects pricing growth to accelerate through the year. The relevant questions are:</w:t>
      </w:r>
    </w:p>
    <w:p>
      <w:pPr>
        <w:pStyle w:val="Compact"/>
        <w:numPr>
          <w:ilvl w:val="0"/>
          <w:numId w:val="1006"/>
        </w:numPr>
      </w:pPr>
      <w:r>
        <w:t xml:space="preserve">Did Q2 reported pricing move above Q1’s 3.5%?</w:t>
      </w:r>
    </w:p>
    <w:p>
      <w:pPr>
        <w:pStyle w:val="Compact"/>
        <w:numPr>
          <w:ilvl w:val="0"/>
          <w:numId w:val="1006"/>
        </w:numPr>
      </w:pPr>
      <w:r>
        <w:t xml:space="preserve">How much did base-stone shipments for data centers and public projects dilute reported price?</w:t>
      </w:r>
    </w:p>
    <w:p>
      <w:pPr>
        <w:pStyle w:val="Compact"/>
        <w:numPr>
          <w:ilvl w:val="0"/>
          <w:numId w:val="1006"/>
        </w:numPr>
      </w:pPr>
      <w:r>
        <w:t xml:space="preserve">What percentage of the midyear increases was accepted?</w:t>
      </w:r>
    </w:p>
    <w:p>
      <w:pPr>
        <w:pStyle w:val="Compact"/>
        <w:numPr>
          <w:ilvl w:val="0"/>
          <w:numId w:val="1006"/>
        </w:numPr>
      </w:pPr>
      <w:r>
        <w:t xml:space="preserve">When will the benefit become visible—late Q2, Q3 or primarily Q4?</w:t>
      </w:r>
    </w:p>
    <w:p>
      <w:pPr>
        <w:pStyle w:val="Compact"/>
        <w:numPr>
          <w:ilvl w:val="0"/>
          <w:numId w:val="1006"/>
        </w:numPr>
      </w:pPr>
      <w:r>
        <w:t xml:space="preserve">Will Vulcan exit 2026 above the 4%–6% full-year range?</w:t>
      </w:r>
    </w:p>
    <w:p>
      <w:pPr>
        <w:pStyle w:val="FirstParagraph"/>
      </w:pPr>
      <w:r>
        <w:t xml:space="preserve">A healthy result would combine</w:t>
      </w:r>
      <w:r>
        <w:t xml:space="preserve"> </w:t>
      </w:r>
      <w:r>
        <w:rPr>
          <w:b/>
          <w:bCs/>
        </w:rPr>
        <w:t xml:space="preserve">at least mid-single-digit mix-adjusted pricing</w:t>
      </w:r>
      <w:r>
        <w:t xml:space="preserve"> </w:t>
      </w:r>
      <w:r>
        <w:t xml:space="preserve">with confidence that reported pricing accelerates in the second half.</w:t>
      </w:r>
    </w:p>
    <w:p>
      <w:pPr>
        <w:pStyle w:val="BodyText"/>
      </w:pPr>
      <w:r>
        <w:t xml:space="preserve">Vulcan’s long-term case rests heavily on durable price-cost compounding. At its March investor day, management established a long-range target of</w:t>
      </w:r>
      <w:r>
        <w:t xml:space="preserve"> </w:t>
      </w:r>
      <w:r>
        <w:rPr>
          <w:b/>
          <w:bCs/>
        </w:rPr>
        <w:t xml:space="preserve">$20 of aggregates cash gross profit per ton</w:t>
      </w:r>
      <w:r>
        <w:t xml:space="preserve">, versus $11.33 in 2025, and said it expects high-single- to low-double-digit annual improvement in that measure over the medium term.</w:t>
      </w:r>
    </w:p>
    <w:bookmarkEnd w:id="17"/>
    <w:bookmarkStart w:id="19" w:name="X5788a5793885d4127e37741e108ed6300db7538"/>
    <w:p>
      <w:pPr>
        <w:pStyle w:val="Heading3"/>
      </w:pPr>
      <w:r>
        <w:t xml:space="preserve">3. Volume quality matters more than volume alone</w:t>
      </w:r>
    </w:p>
    <w:p>
      <w:pPr>
        <w:pStyle w:val="FirstParagraph"/>
      </w:pPr>
      <w:r>
        <w:t xml:space="preserve">Q1 shipments increased 5%, but management retained its more conservative</w:t>
      </w:r>
      <w:r>
        <w:t xml:space="preserve"> </w:t>
      </w:r>
      <w:r>
        <w:rPr>
          <w:b/>
          <w:bCs/>
        </w:rPr>
        <w:t xml:space="preserve">1%–3% full-year growth</w:t>
      </w:r>
      <w:r>
        <w:t xml:space="preserve"> </w:t>
      </w:r>
      <w:r>
        <w:t xml:space="preserve">forecast. It attributed the quarter’s strength to:</w:t>
      </w:r>
    </w:p>
    <w:p>
      <w:pPr>
        <w:pStyle w:val="Compact"/>
        <w:numPr>
          <w:ilvl w:val="0"/>
          <w:numId w:val="1007"/>
        </w:numPr>
      </w:pPr>
      <w:r>
        <w:t xml:space="preserve">More normal weather than in early 2025;</w:t>
      </w:r>
    </w:p>
    <w:p>
      <w:pPr>
        <w:pStyle w:val="Compact"/>
        <w:numPr>
          <w:ilvl w:val="0"/>
          <w:numId w:val="1007"/>
        </w:numPr>
      </w:pPr>
      <w:r>
        <w:t xml:space="preserve">Large public projects;</w:t>
      </w:r>
    </w:p>
    <w:p>
      <w:pPr>
        <w:pStyle w:val="Compact"/>
        <w:numPr>
          <w:ilvl w:val="0"/>
          <w:numId w:val="1007"/>
        </w:numPr>
      </w:pPr>
      <w:r>
        <w:t xml:space="preserve">Rapid conversion of data-center backlog into shipments.</w:t>
      </w:r>
    </w:p>
    <w:p>
      <w:pPr>
        <w:pStyle w:val="FirstParagraph"/>
      </w:pPr>
      <w:r>
        <w:t xml:space="preserve">The Q2 comparison is favorable in one respect: Q2 2025 shipments fell 1% because of significant rainfall in several Southeastern markets. Last year’s weak weather comparison could support reported volume growth this quarter. (</w:t>
      </w:r>
      <w:hyperlink r:id="rId18">
        <w:r>
          <w:rPr>
            <w:rStyle w:val="Hyperlink"/>
          </w:rPr>
          <w:t xml:space="preserve">vulcanmaterials.com</w:t>
        </w:r>
      </w:hyperlink>
      <w:r>
        <w:t xml:space="preserve">)</w:t>
      </w:r>
    </w:p>
    <w:p>
      <w:pPr>
        <w:pStyle w:val="BodyText"/>
      </w:pPr>
      <w:r>
        <w:t xml:space="preserve">The demand mix should remain uneven: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End market</w:t>
            </w:r>
          </w:p>
        </w:tc>
        <w:tc>
          <w:tcPr/>
          <w:p>
            <w:pPr>
              <w:pStyle w:val="Compact"/>
            </w:pPr>
            <w:r>
              <w:t xml:space="preserve">Expected Q2 direction</w:t>
            </w:r>
          </w:p>
        </w:tc>
      </w:tr>
      <w:tr>
        <w:tc>
          <w:tcPr/>
          <w:p>
            <w:pPr>
              <w:pStyle w:val="Compact"/>
            </w:pPr>
            <w:r>
              <w:t xml:space="preserve">Public infrastructure</w:t>
            </w:r>
          </w:p>
        </w:tc>
        <w:tc>
          <w:tcPr/>
          <w:p>
            <w:pPr>
              <w:pStyle w:val="Compact"/>
            </w:pPr>
            <w:r>
              <w:t xml:space="preserve">Strong; supported by highway and infrastructure backlogs</w:t>
            </w:r>
          </w:p>
        </w:tc>
      </w:tr>
      <w:tr>
        <w:tc>
          <w:tcPr/>
          <w:p>
            <w:pPr>
              <w:pStyle w:val="Compact"/>
            </w:pPr>
            <w:r>
              <w:t xml:space="preserve">Data centers</w:t>
            </w:r>
          </w:p>
        </w:tc>
        <w:tc>
          <w:tcPr/>
          <w:p>
            <w:pPr>
              <w:pStyle w:val="Compact"/>
            </w:pPr>
            <w:r>
              <w:t xml:space="preserve">Strong, with projects converting rapidly into shipments</w:t>
            </w:r>
          </w:p>
        </w:tc>
      </w:tr>
      <w:tr>
        <w:tc>
          <w:tcPr/>
          <w:p>
            <w:pPr>
              <w:pStyle w:val="Compact"/>
            </w:pPr>
            <w:r>
              <w:t xml:space="preserve">Energy infrastructure</w:t>
            </w:r>
          </w:p>
        </w:tc>
        <w:tc>
          <w:tcPr/>
          <w:p>
            <w:pPr>
              <w:pStyle w:val="Compact"/>
            </w:pPr>
            <w:r>
              <w:t xml:space="preserve">Emerging source of large-project demand</w:t>
            </w:r>
          </w:p>
        </w:tc>
      </w:tr>
      <w:tr>
        <w:tc>
          <w:tcPr/>
          <w:p>
            <w:pPr>
              <w:pStyle w:val="Compact"/>
            </w:pPr>
            <w:r>
              <w:t xml:space="preserve">Warehouses/manufacturing</w:t>
            </w:r>
          </w:p>
        </w:tc>
        <w:tc>
          <w:tcPr/>
          <w:p>
            <w:pPr>
              <w:pStyle w:val="Compact"/>
            </w:pPr>
            <w:r>
              <w:t xml:space="preserve">Improving from weak levels</w:t>
            </w:r>
          </w:p>
        </w:tc>
      </w:tr>
      <w:tr>
        <w:tc>
          <w:tcPr/>
          <w:p>
            <w:pPr>
              <w:pStyle w:val="Compact"/>
            </w:pPr>
            <w:r>
              <w:t xml:space="preserve">Residential</w:t>
            </w:r>
          </w:p>
        </w:tc>
        <w:tc>
          <w:tcPr/>
          <w:p>
            <w:pPr>
              <w:pStyle w:val="Compact"/>
            </w:pPr>
            <w:r>
              <w:t xml:space="preserve">Still constrained by affordability</w:t>
            </w:r>
          </w:p>
        </w:tc>
      </w:tr>
      <w:tr>
        <w:tc>
          <w:tcPr/>
          <w:p>
            <w:pPr>
              <w:pStyle w:val="Compact"/>
            </w:pPr>
            <w:r>
              <w:t xml:space="preserve">Traditional commercial construction</w:t>
            </w:r>
          </w:p>
        </w:tc>
        <w:tc>
          <w:tcPr/>
          <w:p>
            <w:pPr>
              <w:pStyle w:val="Compact"/>
            </w:pPr>
            <w:r>
              <w:t xml:space="preserve">Mixed</w:t>
            </w:r>
          </w:p>
        </w:tc>
      </w:tr>
    </w:tbl>
    <w:p>
      <w:pPr>
        <w:pStyle w:val="BodyText"/>
      </w:pPr>
      <w:r>
        <w:t xml:space="preserve">Volume growth led by large projects is positive, but these projects can skew product mix toward lower-priced base materials. Investors should not interpret a softer reported price mechanically if mix-adjusted pricing and total unit profitability remain sound.</w:t>
      </w:r>
    </w:p>
    <w:bookmarkEnd w:id="19"/>
    <w:bookmarkStart w:id="21" w:name="X592fc1cb95bb24a04af4e04546537c9d4610aa1"/>
    <w:p>
      <w:pPr>
        <w:pStyle w:val="Heading3"/>
      </w:pPr>
      <w:r>
        <w:t xml:space="preserve">4. Portfolio changes will create noise</w:t>
      </w:r>
    </w:p>
    <w:p>
      <w:pPr>
        <w:pStyle w:val="FirstParagraph"/>
      </w:pPr>
      <w:r>
        <w:t xml:space="preserve">On June 8, Vulcan completed two strategic actions:</w:t>
      </w:r>
    </w:p>
    <w:p>
      <w:pPr>
        <w:pStyle w:val="Compact"/>
        <w:numPr>
          <w:ilvl w:val="0"/>
          <w:numId w:val="1008"/>
        </w:numPr>
      </w:pPr>
      <w:r>
        <w:t xml:space="preserve">It sold its California ready-mixed concrete operations.</w:t>
      </w:r>
    </w:p>
    <w:p>
      <w:pPr>
        <w:pStyle w:val="Compact"/>
        <w:numPr>
          <w:ilvl w:val="0"/>
          <w:numId w:val="1008"/>
        </w:numPr>
      </w:pPr>
      <w:r>
        <w:t xml:space="preserve">It acquired Brannan Sand &amp; Gravel’s southern Colorado and Dallas–Fort Worth operations, including a rail-connected Colorado quarry and a Dallas–Fort Worth distribution yard. (</w:t>
      </w:r>
      <w:hyperlink r:id="rId20">
        <w:r>
          <w:rPr>
            <w:rStyle w:val="Hyperlink"/>
          </w:rPr>
          <w:t xml:space="preserve">stg.vulcanmaterials.com</w:t>
        </w:r>
      </w:hyperlink>
      <w:r>
        <w:t xml:space="preserve">)</w:t>
      </w:r>
    </w:p>
    <w:p>
      <w:pPr>
        <w:pStyle w:val="FirstParagraph"/>
      </w:pPr>
      <w:r>
        <w:t xml:space="preserve">The California operation contributed approximately</w:t>
      </w:r>
      <w:r>
        <w:t xml:space="preserve"> </w:t>
      </w:r>
      <w:r>
        <w:rPr>
          <w:b/>
          <w:bCs/>
        </w:rPr>
        <w:t xml:space="preserve">$10 million of cash gross profit in Q1</w:t>
      </w:r>
      <w:r>
        <w:t xml:space="preserve">. Depending on the precise closing-date accounting, Q2 may include a partial contribution, disposal-related items and a changed revenue mix.</w:t>
      </w:r>
    </w:p>
    <w:p>
      <w:pPr>
        <w:pStyle w:val="BodyText"/>
      </w:pPr>
      <w:r>
        <w:t xml:space="preserve">Consequently:</w:t>
      </w:r>
    </w:p>
    <w:p>
      <w:pPr>
        <w:pStyle w:val="Compact"/>
        <w:numPr>
          <w:ilvl w:val="0"/>
          <w:numId w:val="1009"/>
        </w:numPr>
      </w:pPr>
      <w:r>
        <w:t xml:space="preserve">Reported concrete revenue may decline even if the remaining operations perform well.</w:t>
      </w:r>
    </w:p>
    <w:p>
      <w:pPr>
        <w:pStyle w:val="Compact"/>
        <w:numPr>
          <w:ilvl w:val="0"/>
          <w:numId w:val="1009"/>
        </w:numPr>
      </w:pPr>
      <w:r>
        <w:t xml:space="preserve">Consolidated revenue growth may understate aggregates growth.</w:t>
      </w:r>
    </w:p>
    <w:p>
      <w:pPr>
        <w:pStyle w:val="Compact"/>
        <w:numPr>
          <w:ilvl w:val="0"/>
          <w:numId w:val="1009"/>
        </w:numPr>
      </w:pPr>
      <w:r>
        <w:t xml:space="preserve">Investors should look for proceeds, any disposal gain or loss, and updated downstream guidance.</w:t>
      </w:r>
    </w:p>
    <w:p>
      <w:pPr>
        <w:pStyle w:val="Compact"/>
        <w:numPr>
          <w:ilvl w:val="0"/>
          <w:numId w:val="1009"/>
        </w:numPr>
      </w:pPr>
      <w:r>
        <w:t xml:space="preserve">The Brannan assets likely have limited Q2 impact but are strategically consistent with Vulcan’s effort to expand its aggregates network.</w:t>
      </w:r>
    </w:p>
    <w:p>
      <w:pPr>
        <w:pStyle w:val="FirstParagraph"/>
      </w:pPr>
      <w:r>
        <w:t xml:space="preserve">The transaction reinforces management’s aggregates-first strategy, but the earnings call should clarify whether the sale and acquisition alter 2026 EBITDA, capital spending or leverage expectations.</w:t>
      </w:r>
    </w:p>
    <w:bookmarkEnd w:id="21"/>
    <w:bookmarkStart w:id="22" w:name="X7903a612de513bac78fdcfa4829b93a77480dc0"/>
    <w:p>
      <w:pPr>
        <w:pStyle w:val="Heading3"/>
      </w:pPr>
      <w:r>
        <w:t xml:space="preserve">5. Full-year guidance is the real catalyst</w:t>
      </w:r>
    </w:p>
    <w:p>
      <w:pPr>
        <w:pStyle w:val="FirstParagraph"/>
      </w:pPr>
      <w:r>
        <w:t xml:space="preserve">An unchanged</w:t>
      </w:r>
      <w:r>
        <w:t xml:space="preserve"> </w:t>
      </w:r>
      <m:oMath>
        <m:r>
          <m:t>2.4</m:t>
        </m:r>
        <m:r>
          <m:rPr>
            <m:sty m:val="p"/>
          </m:rPr>
          <m:t>–</m:t>
        </m:r>
      </m:oMath>
      <w:r>
        <w:t xml:space="preserve">2.6 billion EBITDA range would probably be viewed as acceptable given the Q2 fuel pressure. The quality of the reaffirmation, however, matters.</w:t>
      </w:r>
    </w:p>
    <w:p>
      <w:pPr>
        <w:pStyle w:val="BodyText"/>
      </w:pPr>
      <w:r>
        <w:rPr>
          <w:b/>
          <w:bCs/>
        </w:rPr>
        <w:t xml:space="preserve">A constructive reaffirmation would include:</w:t>
      </w:r>
    </w:p>
    <w:p>
      <w:pPr>
        <w:pStyle w:val="Compact"/>
        <w:numPr>
          <w:ilvl w:val="0"/>
          <w:numId w:val="1010"/>
        </w:numPr>
      </w:pPr>
      <w:r>
        <w:t xml:space="preserve">Q2 diesel costs broadly matching the previously estimated $25 million hit;</w:t>
      </w:r>
    </w:p>
    <w:p>
      <w:pPr>
        <w:pStyle w:val="Compact"/>
        <w:numPr>
          <w:ilvl w:val="0"/>
          <w:numId w:val="1010"/>
        </w:numPr>
      </w:pPr>
      <w:r>
        <w:t xml:space="preserve">Midyear pricing tracking as expected;</w:t>
      </w:r>
    </w:p>
    <w:p>
      <w:pPr>
        <w:pStyle w:val="Compact"/>
        <w:numPr>
          <w:ilvl w:val="0"/>
          <w:numId w:val="1010"/>
        </w:numPr>
      </w:pPr>
      <w:r>
        <w:t xml:space="preserve">Full-year unit costs still expected to increase only in the low-single digits;</w:t>
      </w:r>
    </w:p>
    <w:p>
      <w:pPr>
        <w:pStyle w:val="Compact"/>
        <w:numPr>
          <w:ilvl w:val="0"/>
          <w:numId w:val="1010"/>
        </w:numPr>
      </w:pPr>
      <w:r>
        <w:t xml:space="preserve">Shipment growth remaining within 1%–3%;</w:t>
      </w:r>
    </w:p>
    <w:p>
      <w:pPr>
        <w:pStyle w:val="Compact"/>
        <w:numPr>
          <w:ilvl w:val="0"/>
          <w:numId w:val="1010"/>
        </w:numPr>
      </w:pPr>
      <w:r>
        <w:t xml:space="preserve">No project cancellations or meaningful deterioration in private nonresidential demand.</w:t>
      </w:r>
    </w:p>
    <w:p>
      <w:pPr>
        <w:pStyle w:val="FirstParagraph"/>
      </w:pPr>
      <w:r>
        <w:rPr>
          <w:b/>
          <w:bCs/>
        </w:rPr>
        <w:t xml:space="preserve">A weaker reaffirmation would include:</w:t>
      </w:r>
    </w:p>
    <w:p>
      <w:pPr>
        <w:pStyle w:val="Compact"/>
        <w:numPr>
          <w:ilvl w:val="0"/>
          <w:numId w:val="1011"/>
        </w:numPr>
      </w:pPr>
      <w:r>
        <w:t xml:space="preserve">Reliance on lower diesel prices rather than realized pricing;</w:t>
      </w:r>
    </w:p>
    <w:p>
      <w:pPr>
        <w:pStyle w:val="Compact"/>
        <w:numPr>
          <w:ilvl w:val="0"/>
          <w:numId w:val="1011"/>
        </w:numPr>
      </w:pPr>
      <w:r>
        <w:t xml:space="preserve">A shift toward the low end of the EBITDA range;</w:t>
      </w:r>
    </w:p>
    <w:p>
      <w:pPr>
        <w:pStyle w:val="Compact"/>
        <w:numPr>
          <w:ilvl w:val="0"/>
          <w:numId w:val="1011"/>
        </w:numPr>
      </w:pPr>
      <w:r>
        <w:t xml:space="preserve">Higher full-year cost inflation;</w:t>
      </w:r>
    </w:p>
    <w:p>
      <w:pPr>
        <w:pStyle w:val="Compact"/>
        <w:numPr>
          <w:ilvl w:val="0"/>
          <w:numId w:val="1011"/>
        </w:numPr>
      </w:pPr>
      <w:r>
        <w:t xml:space="preserve">Slower second-half shipments;</w:t>
      </w:r>
    </w:p>
    <w:p>
      <w:pPr>
        <w:pStyle w:val="Compact"/>
        <w:numPr>
          <w:ilvl w:val="0"/>
          <w:numId w:val="1011"/>
        </w:numPr>
      </w:pPr>
      <w:r>
        <w:t xml:space="preserve">Limited success with midyear price increases.</w:t>
      </w:r>
    </w:p>
    <w:p>
      <w:pPr>
        <w:pStyle w:val="FirstParagraph"/>
      </w:pPr>
      <w:r>
        <w:t xml:space="preserve">A guidance increase is possible but should not be the base case. Given energy volatility, portfolio changes and an already wide $200 million range, management has ample reason to retain the existing framework even after a solid quarter.</w:t>
      </w:r>
    </w:p>
    <w:p>
      <w:r>
        <w:pict>
          <v:rect style="width:0;height:1.5pt" o:hralign="center" o:hrstd="t" o:hr="t"/>
        </w:pict>
      </w:r>
    </w:p>
    <w:bookmarkEnd w:id="22"/>
    <w:bookmarkEnd w:id="23"/>
    <w:bookmarkStart w:id="25" w:name="X4900bc4dbdc04b52138406d320d2f88a5a06ce1"/>
    <w:p>
      <w:pPr>
        <w:pStyle w:val="Heading2"/>
      </w:pPr>
      <w:r>
        <w:t xml:space="preserve">Mexico arbitration: strategically disappointing, but not a Q2 operating issue</w:t>
      </w:r>
    </w:p>
    <w:p>
      <w:pPr>
        <w:pStyle w:val="FirstParagraph"/>
      </w:pPr>
      <w:r>
        <w:t xml:space="preserve">Two days before earnings, Vulcan announced that the NAFTA tribunal found that Mexico had violated the agreement in several respects but awarded Vulcan only “negligible” damages. Reports put the award at approximately</w:t>
      </w:r>
      <w:r>
        <w:t xml:space="preserve"> </w:t>
      </w:r>
      <w:r>
        <w:rPr>
          <w:b/>
          <w:bCs/>
        </w:rPr>
        <w:t xml:space="preserve">$15 million</w:t>
      </w:r>
      <w:r>
        <w:t xml:space="preserve">, versus a claim of roughly $1.7 billion. (</w:t>
      </w:r>
      <w:hyperlink r:id="rId24">
        <w:r>
          <w:rPr>
            <w:rStyle w:val="Hyperlink"/>
          </w:rPr>
          <w:t xml:space="preserve">m.in.investing.com</w:t>
        </w:r>
      </w:hyperlink>
      <w:r>
        <w:t xml:space="preserve">)</w:t>
      </w:r>
    </w:p>
    <w:p>
      <w:pPr>
        <w:pStyle w:val="BodyText"/>
      </w:pPr>
      <w:r>
        <w:t xml:space="preserve">The decision is negative relative to the potential asset-recovery or compensation upside investors may have assigned to the dispute. It should not materially change the underlying U.S. aggregates earnings thesis, but management may need to address:</w:t>
      </w:r>
    </w:p>
    <w:p>
      <w:pPr>
        <w:pStyle w:val="Compact"/>
        <w:numPr>
          <w:ilvl w:val="0"/>
          <w:numId w:val="1012"/>
        </w:numPr>
      </w:pPr>
      <w:r>
        <w:t xml:space="preserve">Whether Vulcan can challenge or seek review of the decision;</w:t>
      </w:r>
    </w:p>
    <w:p>
      <w:pPr>
        <w:pStyle w:val="Compact"/>
        <w:numPr>
          <w:ilvl w:val="0"/>
          <w:numId w:val="1012"/>
        </w:numPr>
      </w:pPr>
      <w:r>
        <w:t xml:space="preserve">The accounting treatment of the award and legal costs;</w:t>
      </w:r>
    </w:p>
    <w:p>
      <w:pPr>
        <w:pStyle w:val="Compact"/>
        <w:numPr>
          <w:ilvl w:val="0"/>
          <w:numId w:val="1012"/>
        </w:numPr>
      </w:pPr>
      <w:r>
        <w:t xml:space="preserve">The status and carrying value of the Mexican assets;</w:t>
      </w:r>
    </w:p>
    <w:p>
      <w:pPr>
        <w:pStyle w:val="Compact"/>
        <w:numPr>
          <w:ilvl w:val="0"/>
          <w:numId w:val="1012"/>
        </w:numPr>
      </w:pPr>
      <w:r>
        <w:t xml:space="preserve">Whether any path remains to restart or monetize the operations.</w:t>
      </w:r>
    </w:p>
    <w:p>
      <w:pPr>
        <w:pStyle w:val="FirstParagraph"/>
      </w:pPr>
      <w:r>
        <w:t xml:space="preserve">Investors should separate any arbitration-related accounting item from recurring adjusted earnings.</w:t>
      </w:r>
    </w:p>
    <w:p>
      <w:r>
        <w:pict>
          <v:rect style="width:0;height:1.5pt" o:hralign="center" o:hrstd="t" o:hr="t"/>
        </w:pict>
      </w:r>
    </w:p>
    <w:bookmarkEnd w:id="25"/>
    <w:bookmarkStart w:id="26" w:name="X6cc963e10469fae8ee47e759fcc93331a30e921"/>
    <w:p>
      <w:pPr>
        <w:pStyle w:val="Heading2"/>
      </w:pPr>
      <w:r>
        <w:t xml:space="preserve">Capital allocation and balance-sheet questions</w:t>
      </w:r>
    </w:p>
    <w:p>
      <w:pPr>
        <w:pStyle w:val="FirstParagraph"/>
      </w:pPr>
      <w:r>
        <w:t xml:space="preserve">At March 31, leverage was</w:t>
      </w:r>
      <w:r>
        <w:t xml:space="preserve"> </w:t>
      </w:r>
      <w:r>
        <w:rPr>
          <w:b/>
          <w:bCs/>
        </w:rPr>
        <w:t xml:space="preserve">1.9 times total debt to trailing adjusted EBITDA</w:t>
      </w:r>
      <w:r>
        <w:t xml:space="preserve">, below Vulcan’s stated 2.0–2.5 times target range. Q1 capital returns included approximately $149 million of buybacks and $68 million of dividends. (</w:t>
      </w:r>
      <w:hyperlink r:id="rId13">
        <w:r>
          <w:rPr>
            <w:rStyle w:val="Hyperlink"/>
          </w:rPr>
          <w:t xml:space="preserve">vulcanmaterials.com</w:t>
        </w:r>
      </w:hyperlink>
      <w:r>
        <w:t xml:space="preserve">)</w:t>
      </w:r>
    </w:p>
    <w:p>
      <w:pPr>
        <w:pStyle w:val="BodyText"/>
      </w:pPr>
      <w:r>
        <w:t xml:space="preserve">The balance sheet therefore provides room for:</w:t>
      </w:r>
    </w:p>
    <w:p>
      <w:pPr>
        <w:pStyle w:val="Compact"/>
        <w:numPr>
          <w:ilvl w:val="0"/>
          <w:numId w:val="1013"/>
        </w:numPr>
      </w:pPr>
      <w:r>
        <w:t xml:space="preserve">Bolt-on aggregates acquisitions;</w:t>
      </w:r>
    </w:p>
    <w:p>
      <w:pPr>
        <w:pStyle w:val="Compact"/>
        <w:numPr>
          <w:ilvl w:val="0"/>
          <w:numId w:val="1013"/>
        </w:numPr>
      </w:pPr>
      <w:r>
        <w:t xml:space="preserve">Greenfield and distribution investments;</w:t>
      </w:r>
    </w:p>
    <w:p>
      <w:pPr>
        <w:pStyle w:val="Compact"/>
        <w:numPr>
          <w:ilvl w:val="0"/>
          <w:numId w:val="1013"/>
        </w:numPr>
      </w:pPr>
      <w:r>
        <w:t xml:space="preserve">Continued repurchases;</w:t>
      </w:r>
    </w:p>
    <w:p>
      <w:pPr>
        <w:pStyle w:val="Compact"/>
        <w:numPr>
          <w:ilvl w:val="0"/>
          <w:numId w:val="1013"/>
        </w:numPr>
      </w:pPr>
      <w:r>
        <w:t xml:space="preserve">Deployment of California concrete-sale proceeds.</w:t>
      </w:r>
    </w:p>
    <w:p>
      <w:pPr>
        <w:pStyle w:val="FirstParagraph"/>
      </w:pPr>
      <w:r>
        <w:t xml:space="preserve">The report should disclose whether the Brannan acquisition and other potential transactions are beginning to move leverage back toward the target range. Management previously described its acquisition pipeline as active and expected several bolt-on deals to close during 2026.</w:t>
      </w:r>
    </w:p>
    <w:p>
      <w:pPr>
        <w:pStyle w:val="BodyText"/>
      </w:pPr>
      <w:r>
        <w:t xml:space="preserve">The best outcome is disciplined aggregates expansion without sacrificing ROIC, which stood at approximately 16% after Q1.</w:t>
      </w:r>
    </w:p>
    <w:p>
      <w:r>
        <w:pict>
          <v:rect style="width:0;height:1.5pt" o:hralign="center" o:hrstd="t" o:hr="t"/>
        </w:pict>
      </w:r>
    </w:p>
    <w:bookmarkEnd w:id="26"/>
    <w:bookmarkStart w:id="28" w:name="valuation-and-stock-setup"/>
    <w:p>
      <w:pPr>
        <w:pStyle w:val="Heading2"/>
      </w:pPr>
      <w:r>
        <w:t xml:space="preserve">Valuation and stock setup</w:t>
      </w:r>
    </w:p>
    <w:p>
      <w:pPr>
        <w:pStyle w:val="FirstParagraph"/>
      </w:pPr>
      <w:r>
        <w:t xml:space="preserve">VMC closed July 28 at approximately</w:t>
      </w:r>
      <w:r>
        <w:t xml:space="preserve"> </w:t>
      </w:r>
      <w:r>
        <w:rPr>
          <w:b/>
          <w:bCs/>
        </w:rPr>
        <w:t xml:space="preserve">$288.46</w:t>
      </w:r>
      <w:r>
        <w:t xml:space="preserve">. Using published FY2026 consensus EPS of roughly $9.13, the stock trades at approximately</w:t>
      </w:r>
      <w:r>
        <w:t xml:space="preserve"> </w:t>
      </w:r>
      <w:r>
        <w:rPr>
          <w:b/>
          <w:bCs/>
        </w:rPr>
        <w:t xml:space="preserve">31.6 times forward earnings</w:t>
      </w:r>
      <w:r>
        <w:t xml:space="preserve">. Published FY2026 estimates imply only modest upside to the company’s prior-year earnings base, while the valuation already reflects confidence in durable pricing, infrastructure demand and long-term unit-margin expansion. (</w:t>
      </w:r>
      <w:hyperlink r:id="rId27">
        <w:r>
          <w:rPr>
            <w:rStyle w:val="Hyperlink"/>
          </w:rPr>
          <w:t xml:space="preserve">finanzen.net</w:t>
        </w:r>
      </w:hyperlink>
      <w:r>
        <w:t xml:space="preserve">)</w:t>
      </w:r>
    </w:p>
    <w:p>
      <w:pPr>
        <w:pStyle w:val="BodyText"/>
      </w:pPr>
      <w:r>
        <w:t xml:space="preserve">That valuation raises the bar:</w:t>
      </w:r>
    </w:p>
    <w:p>
      <w:pPr>
        <w:pStyle w:val="Compact"/>
        <w:numPr>
          <w:ilvl w:val="0"/>
          <w:numId w:val="1014"/>
        </w:numPr>
      </w:pPr>
      <w:r>
        <w:t xml:space="preserve">A small headline beat may not be enough if guidance quality deteriorates.</w:t>
      </w:r>
    </w:p>
    <w:p>
      <w:pPr>
        <w:pStyle w:val="Compact"/>
        <w:numPr>
          <w:ilvl w:val="0"/>
          <w:numId w:val="1014"/>
        </w:numPr>
      </w:pPr>
      <w:r>
        <w:t xml:space="preserve">A clean reaffirmation with stable unit margins could be well received because investors are already expecting Q2 cost pressure.</w:t>
      </w:r>
    </w:p>
    <w:p>
      <w:pPr>
        <w:pStyle w:val="Compact"/>
        <w:numPr>
          <w:ilvl w:val="0"/>
          <w:numId w:val="1014"/>
        </w:numPr>
      </w:pPr>
      <w:r>
        <w:t xml:space="preserve">The most powerful positive catalyst would be evidence that Vulcan can absorb the fuel shock and return to high-single-digit cash gross profit-per-ton growth in the second half.</w:t>
      </w:r>
    </w:p>
    <w:p>
      <w:r>
        <w:pict>
          <v:rect style="width:0;height:1.5pt" o:hralign="center" o:hrstd="t" o:hr="t"/>
        </w:pict>
      </w:r>
    </w:p>
    <w:bookmarkEnd w:id="28"/>
    <w:bookmarkStart w:id="32" w:name="earnings-scorecard"/>
    <w:p>
      <w:pPr>
        <w:pStyle w:val="Heading2"/>
      </w:pPr>
      <w:r>
        <w:t xml:space="preserve">Earnings scorecard</w:t>
      </w:r>
    </w:p>
    <w:bookmarkStart w:id="29" w:name="bull-case"/>
    <w:p>
      <w:pPr>
        <w:pStyle w:val="Heading3"/>
      </w:pPr>
      <w:r>
        <w:t xml:space="preserve">Bull case</w:t>
      </w:r>
    </w:p>
    <w:p>
      <w:pPr>
        <w:pStyle w:val="Compact"/>
        <w:numPr>
          <w:ilvl w:val="0"/>
          <w:numId w:val="1015"/>
        </w:numPr>
      </w:pPr>
      <w:r>
        <w:t xml:space="preserve">Revenue and EPS exceed approximately $2.14 billion and</w:t>
      </w:r>
      <w:r>
        <w:t xml:space="preserve"> </w:t>
      </w:r>
      <m:oMath>
        <m:r>
          <m:t>2.49</m:t>
        </m:r>
        <m:r>
          <m:rPr>
            <m:sty m:val="p"/>
          </m:rPr>
          <m:t>–</m:t>
        </m:r>
      </m:oMath>
      <w:r>
        <w:t xml:space="preserve">2.50.</w:t>
      </w:r>
    </w:p>
    <w:p>
      <w:pPr>
        <w:pStyle w:val="Compact"/>
        <w:numPr>
          <w:ilvl w:val="0"/>
          <w:numId w:val="1015"/>
        </w:numPr>
      </w:pPr>
      <w:r>
        <w:t xml:space="preserve">Aggregates shipments grow at least low single digits.</w:t>
      </w:r>
    </w:p>
    <w:p>
      <w:pPr>
        <w:pStyle w:val="Compact"/>
        <w:numPr>
          <w:ilvl w:val="0"/>
          <w:numId w:val="1015"/>
        </w:numPr>
      </w:pPr>
      <w:r>
        <w:t xml:space="preserve">Reported price accelerates from Q1; mix-adjusted price is solidly within or above the 4%–6% range.</w:t>
      </w:r>
    </w:p>
    <w:p>
      <w:pPr>
        <w:pStyle w:val="Compact"/>
        <w:numPr>
          <w:ilvl w:val="0"/>
          <w:numId w:val="1015"/>
        </w:numPr>
      </w:pPr>
      <w:r>
        <w:t xml:space="preserve">Cash gross profit per ton holds near or above last year’s $11.88.</w:t>
      </w:r>
    </w:p>
    <w:p>
      <w:pPr>
        <w:pStyle w:val="Compact"/>
        <w:numPr>
          <w:ilvl w:val="0"/>
          <w:numId w:val="1015"/>
        </w:numPr>
      </w:pPr>
      <w:r>
        <w:t xml:space="preserve">Diesel impact does not exceed the previously discussed $25 million by much.</w:t>
      </w:r>
    </w:p>
    <w:p>
      <w:pPr>
        <w:pStyle w:val="Compact"/>
        <w:numPr>
          <w:ilvl w:val="0"/>
          <w:numId w:val="1015"/>
        </w:numPr>
      </w:pPr>
      <w:r>
        <w:t xml:space="preserve">Full-year EBITDA guidance is reaffirmed with a midpoint-or-better bias.</w:t>
      </w:r>
    </w:p>
    <w:p>
      <w:pPr>
        <w:pStyle w:val="Compact"/>
        <w:numPr>
          <w:ilvl w:val="0"/>
          <w:numId w:val="1015"/>
        </w:numPr>
      </w:pPr>
      <w:r>
        <w:t xml:space="preserve">Management reports strong midyear price realization and healthy public/data-center backlogs.</w:t>
      </w:r>
    </w:p>
    <w:bookmarkEnd w:id="29"/>
    <w:bookmarkStart w:id="30" w:name="base-case"/>
    <w:p>
      <w:pPr>
        <w:pStyle w:val="Heading3"/>
      </w:pPr>
      <w:r>
        <w:t xml:space="preserve">Base case</w:t>
      </w:r>
    </w:p>
    <w:p>
      <w:pPr>
        <w:pStyle w:val="Compact"/>
        <w:numPr>
          <w:ilvl w:val="0"/>
          <w:numId w:val="1016"/>
        </w:numPr>
      </w:pPr>
      <w:r>
        <w:t xml:space="preserve">Results land near consensus.</w:t>
      </w:r>
    </w:p>
    <w:p>
      <w:pPr>
        <w:pStyle w:val="Compact"/>
        <w:numPr>
          <w:ilvl w:val="0"/>
          <w:numId w:val="1016"/>
        </w:numPr>
      </w:pPr>
      <w:r>
        <w:t xml:space="preserve">Volume grows modestly.</w:t>
      </w:r>
    </w:p>
    <w:p>
      <w:pPr>
        <w:pStyle w:val="Compact"/>
        <w:numPr>
          <w:ilvl w:val="0"/>
          <w:numId w:val="1016"/>
        </w:numPr>
      </w:pPr>
      <w:r>
        <w:t xml:space="preserve">Price is healthy but mix remains a drag.</w:t>
      </w:r>
    </w:p>
    <w:p>
      <w:pPr>
        <w:pStyle w:val="Compact"/>
        <w:numPr>
          <w:ilvl w:val="0"/>
          <w:numId w:val="1016"/>
        </w:numPr>
      </w:pPr>
      <w:r>
        <w:t xml:space="preserve">Cash gross profit per ton declines slightly because of diesel.</w:t>
      </w:r>
    </w:p>
    <w:p>
      <w:pPr>
        <w:pStyle w:val="Compact"/>
        <w:numPr>
          <w:ilvl w:val="0"/>
          <w:numId w:val="1016"/>
        </w:numPr>
      </w:pPr>
      <w:r>
        <w:t xml:space="preserve">Guidance remains</w:t>
      </w:r>
      <w:r>
        <w:t xml:space="preserve"> </w:t>
      </w:r>
      <m:oMath>
        <m:r>
          <m:t>2.4</m:t>
        </m:r>
        <m:r>
          <m:rPr>
            <m:sty m:val="p"/>
          </m:rPr>
          <m:t>–</m:t>
        </m:r>
      </m:oMath>
      <w:r>
        <w:t xml:space="preserve">2.6 billion, with management emphasizing stronger second-half price-cost performance.</w:t>
      </w:r>
    </w:p>
    <w:p>
      <w:pPr>
        <w:pStyle w:val="Compact"/>
        <w:numPr>
          <w:ilvl w:val="0"/>
          <w:numId w:val="1016"/>
        </w:numPr>
      </w:pPr>
      <w:r>
        <w:t xml:space="preserve">Portfolio changes obscure consolidated revenue and downstream comparisons.</w:t>
      </w:r>
    </w:p>
    <w:bookmarkEnd w:id="30"/>
    <w:bookmarkStart w:id="31" w:name="bear-case"/>
    <w:p>
      <w:pPr>
        <w:pStyle w:val="Heading3"/>
      </w:pPr>
      <w:r>
        <w:t xml:space="preserve">Bear case</w:t>
      </w:r>
    </w:p>
    <w:p>
      <w:pPr>
        <w:pStyle w:val="Compact"/>
        <w:numPr>
          <w:ilvl w:val="0"/>
          <w:numId w:val="1017"/>
        </w:numPr>
      </w:pPr>
      <w:r>
        <w:t xml:space="preserve">Volume is flat or down despite the easier weather comparison.</w:t>
      </w:r>
    </w:p>
    <w:p>
      <w:pPr>
        <w:pStyle w:val="Compact"/>
        <w:numPr>
          <w:ilvl w:val="0"/>
          <w:numId w:val="1017"/>
        </w:numPr>
      </w:pPr>
      <w:r>
        <w:t xml:space="preserve">Reported and mix-adjusted pricing both disappoint.</w:t>
      </w:r>
    </w:p>
    <w:p>
      <w:pPr>
        <w:pStyle w:val="Compact"/>
        <w:numPr>
          <w:ilvl w:val="0"/>
          <w:numId w:val="1017"/>
        </w:numPr>
      </w:pPr>
      <w:r>
        <w:t xml:space="preserve">Unit cash costs rise more than expected and cash gross profit per ton contracts materially.</w:t>
      </w:r>
    </w:p>
    <w:p>
      <w:pPr>
        <w:pStyle w:val="Compact"/>
        <w:numPr>
          <w:ilvl w:val="0"/>
          <w:numId w:val="1017"/>
        </w:numPr>
      </w:pPr>
      <w:r>
        <w:t xml:space="preserve">Midyear increases face greater customer resistance, particularly in residential-oriented markets.</w:t>
      </w:r>
    </w:p>
    <w:p>
      <w:pPr>
        <w:pStyle w:val="Compact"/>
        <w:numPr>
          <w:ilvl w:val="0"/>
          <w:numId w:val="1017"/>
        </w:numPr>
      </w:pPr>
      <w:r>
        <w:t xml:space="preserve">Full-year cost guidance moves above low single digits.</w:t>
      </w:r>
    </w:p>
    <w:p>
      <w:pPr>
        <w:pStyle w:val="Compact"/>
        <w:numPr>
          <w:ilvl w:val="0"/>
          <w:numId w:val="1017"/>
        </w:numPr>
      </w:pPr>
      <w:r>
        <w:t xml:space="preserve">Adjusted EBITDA guidance is cut or management explicitly points investors toward the low end.</w:t>
      </w:r>
    </w:p>
    <w:p>
      <w:r>
        <w:pict>
          <v:rect style="width:0;height:1.5pt" o:hralign="center" o:hrstd="t" o:hr="t"/>
        </w:pict>
      </w:r>
    </w:p>
    <w:bookmarkEnd w:id="31"/>
    <w:bookmarkEnd w:id="32"/>
    <w:bookmarkStart w:id="33" w:name="questions-investors-should-want-answered"/>
    <w:p>
      <w:pPr>
        <w:pStyle w:val="Heading2"/>
      </w:pPr>
      <w:r>
        <w:t xml:space="preserve">Questions investors should want answered</w:t>
      </w:r>
    </w:p>
    <w:p>
      <w:pPr>
        <w:pStyle w:val="Compact"/>
        <w:numPr>
          <w:ilvl w:val="0"/>
          <w:numId w:val="1018"/>
        </w:numPr>
      </w:pPr>
      <w:r>
        <w:rPr>
          <w:b/>
          <w:bCs/>
        </w:rPr>
        <w:t xml:space="preserve">What was the actual Q2 diesel headwind versus the prior estimate of approximately $25 million?</w:t>
      </w:r>
    </w:p>
    <w:p>
      <w:pPr>
        <w:pStyle w:val="Compact"/>
        <w:numPr>
          <w:ilvl w:val="0"/>
          <w:numId w:val="1018"/>
        </w:numPr>
      </w:pPr>
      <w:r>
        <w:rPr>
          <w:b/>
          <w:bCs/>
        </w:rPr>
        <w:t xml:space="preserve">What was aggregates price growth on both a reported and mix-adjusted basis?</w:t>
      </w:r>
    </w:p>
    <w:p>
      <w:pPr>
        <w:pStyle w:val="Compact"/>
        <w:numPr>
          <w:ilvl w:val="0"/>
          <w:numId w:val="1018"/>
        </w:numPr>
      </w:pPr>
      <w:r>
        <w:rPr>
          <w:b/>
          <w:bCs/>
        </w:rPr>
        <w:t xml:space="preserve">How much of the midyear price increase was realized, and when should the remainder enter results?</w:t>
      </w:r>
    </w:p>
    <w:p>
      <w:pPr>
        <w:pStyle w:val="Compact"/>
        <w:numPr>
          <w:ilvl w:val="0"/>
          <w:numId w:val="1018"/>
        </w:numPr>
      </w:pPr>
      <w:r>
        <w:rPr>
          <w:b/>
          <w:bCs/>
        </w:rPr>
        <w:t xml:space="preserve">Can Vulcan still deliver low-single-digit full-year unit cash-cost growth?</w:t>
      </w:r>
    </w:p>
    <w:p>
      <w:pPr>
        <w:pStyle w:val="Compact"/>
        <w:numPr>
          <w:ilvl w:val="0"/>
          <w:numId w:val="1018"/>
        </w:numPr>
      </w:pPr>
      <w:r>
        <w:rPr>
          <w:b/>
          <w:bCs/>
        </w:rPr>
        <w:t xml:space="preserve">How did cash gross profit per ton perform excluding fuel and unusual weather effects?</w:t>
      </w:r>
    </w:p>
    <w:p>
      <w:pPr>
        <w:pStyle w:val="Compact"/>
        <w:numPr>
          <w:ilvl w:val="0"/>
          <w:numId w:val="1018"/>
        </w:numPr>
      </w:pPr>
      <w:r>
        <w:rPr>
          <w:b/>
          <w:bCs/>
        </w:rPr>
        <w:t xml:space="preserve">Is the 1%–3% shipment-growth outlook unchanged after Q1’s 5% increase?</w:t>
      </w:r>
    </w:p>
    <w:p>
      <w:pPr>
        <w:pStyle w:val="Compact"/>
        <w:numPr>
          <w:ilvl w:val="0"/>
          <w:numId w:val="1018"/>
        </w:numPr>
      </w:pPr>
      <w:r>
        <w:rPr>
          <w:b/>
          <w:bCs/>
        </w:rPr>
        <w:t xml:space="preserve">Are data-center shipments accelerating, and is energy infrastructure becoming material?</w:t>
      </w:r>
    </w:p>
    <w:p>
      <w:pPr>
        <w:pStyle w:val="Compact"/>
        <w:numPr>
          <w:ilvl w:val="0"/>
          <w:numId w:val="1018"/>
        </w:numPr>
      </w:pPr>
      <w:r>
        <w:rPr>
          <w:b/>
          <w:bCs/>
        </w:rPr>
        <w:t xml:space="preserve">Has Vulcan seen any slowdown, delay or cancellation in large private projects?</w:t>
      </w:r>
    </w:p>
    <w:p>
      <w:pPr>
        <w:pStyle w:val="Compact"/>
        <w:numPr>
          <w:ilvl w:val="0"/>
          <w:numId w:val="1018"/>
        </w:numPr>
      </w:pPr>
      <w:r>
        <w:rPr>
          <w:b/>
          <w:bCs/>
        </w:rPr>
        <w:t xml:space="preserve">What were the proceeds and earnings effects from selling California concrete?</w:t>
      </w:r>
    </w:p>
    <w:p>
      <w:pPr>
        <w:pStyle w:val="Compact"/>
        <w:numPr>
          <w:ilvl w:val="0"/>
          <w:numId w:val="1018"/>
        </w:numPr>
      </w:pPr>
      <w:r>
        <w:rPr>
          <w:b/>
          <w:bCs/>
        </w:rPr>
        <w:t xml:space="preserve">How much will the Brannan assets contribute in the second half?</w:t>
      </w:r>
    </w:p>
    <w:p>
      <w:pPr>
        <w:pStyle w:val="Compact"/>
        <w:numPr>
          <w:ilvl w:val="0"/>
          <w:numId w:val="1018"/>
        </w:numPr>
      </w:pPr>
      <w:r>
        <w:rPr>
          <w:b/>
          <w:bCs/>
        </w:rPr>
        <w:t xml:space="preserve">Does the Mexico arbitration decision create any impairment, legal charge or change in asset strategy?</w:t>
      </w:r>
    </w:p>
    <w:p>
      <w:pPr>
        <w:pStyle w:val="Compact"/>
        <w:numPr>
          <w:ilvl w:val="0"/>
          <w:numId w:val="1018"/>
        </w:numPr>
      </w:pPr>
      <w:r>
        <w:rPr>
          <w:b/>
          <w:bCs/>
        </w:rPr>
        <w:t xml:space="preserve">How should investors interpret the current position within the</w:t>
      </w:r>
      <w:r>
        <w:rPr>
          <w:b/>
          <w:bCs/>
        </w:rPr>
        <w:t xml:space="preserve"> </w:t>
      </w:r>
      <m:oMath>
        <m:r>
          <m:t>2.4</m:t>
        </m:r>
        <m:r>
          <m:rPr>
            <m:sty m:val="p"/>
          </m:rPr>
          <m:t>–</m:t>
        </m:r>
      </m:oMath>
      <w:r>
        <w:rPr>
          <w:b/>
          <w:bCs/>
        </w:rPr>
        <w:t xml:space="preserve">2.6 billion EBITDA range?</w:t>
      </w:r>
    </w:p>
    <w:p>
      <w:r>
        <w:pict>
          <v:rect style="width:0;height:1.5pt" o:hralign="center" o:hrstd="t" o:hr="t"/>
        </w:pict>
      </w:r>
    </w:p>
    <w:bookmarkEnd w:id="33"/>
    <w:bookmarkStart w:id="34" w:name="bottom-line"/>
    <w:p>
      <w:pPr>
        <w:pStyle w:val="Heading2"/>
      </w:pPr>
      <w:r>
        <w:t xml:space="preserve">Bottom line</w:t>
      </w:r>
    </w:p>
    <w:p>
      <w:pPr>
        <w:pStyle w:val="FirstParagraph"/>
      </w:pPr>
      <w:r>
        <w:t xml:space="preserve">The highest-quality Q2 outcome is not necessarily a large EPS beat. It is evidence that Vulcan’s pricing and operating disciplines can keep</w:t>
      </w:r>
      <w:r>
        <w:t xml:space="preserve"> </w:t>
      </w:r>
      <w:r>
        <w:rPr>
          <w:b/>
          <w:bCs/>
        </w:rPr>
        <w:t xml:space="preserve">aggregates cash gross profit per ton resilient during a quarter of unusually high diesel inflation</w:t>
      </w:r>
      <w:r>
        <w:t xml:space="preserve">.</w:t>
      </w:r>
    </w:p>
    <w:p>
      <w:pPr>
        <w:pStyle w:val="BodyText"/>
      </w:pPr>
      <w:r>
        <w:t xml:space="preserve">If management can:</w:t>
      </w:r>
    </w:p>
    <w:p>
      <w:pPr>
        <w:pStyle w:val="Compact"/>
        <w:numPr>
          <w:ilvl w:val="0"/>
          <w:numId w:val="1019"/>
        </w:numPr>
      </w:pPr>
      <w:r>
        <w:t xml:space="preserve">Keep unit-margin compression limited,</w:t>
      </w:r>
    </w:p>
    <w:p>
      <w:pPr>
        <w:pStyle w:val="Compact"/>
        <w:numPr>
          <w:ilvl w:val="0"/>
          <w:numId w:val="1019"/>
        </w:numPr>
      </w:pPr>
      <w:r>
        <w:t xml:space="preserve">Demonstrate successful midyear pricing,</w:t>
      </w:r>
    </w:p>
    <w:p>
      <w:pPr>
        <w:pStyle w:val="Compact"/>
        <w:numPr>
          <w:ilvl w:val="0"/>
          <w:numId w:val="1019"/>
        </w:numPr>
      </w:pPr>
      <w:r>
        <w:t xml:space="preserve">Confirm healthy public and data-center demand, and</w:t>
      </w:r>
    </w:p>
    <w:p>
      <w:pPr>
        <w:pStyle w:val="Compact"/>
        <w:numPr>
          <w:ilvl w:val="0"/>
          <w:numId w:val="1019"/>
        </w:numPr>
      </w:pPr>
      <w:r>
        <w:t xml:space="preserve">Maintain the</w:t>
      </w:r>
      <w:r>
        <w:t xml:space="preserve"> </w:t>
      </w:r>
      <m:oMath>
        <m:r>
          <m:t>2.4</m:t>
        </m:r>
        <m:r>
          <m:rPr>
            <m:sty m:val="p"/>
          </m:rPr>
          <m:t>–</m:t>
        </m:r>
      </m:oMath>
      <w:r>
        <w:t xml:space="preserve">2.6 billion EBITDA outlook without stretching its assumptions,</w:t>
      </w:r>
    </w:p>
    <w:p>
      <w:pPr>
        <w:pStyle w:val="FirstParagraph"/>
      </w:pPr>
      <w:r>
        <w:t xml:space="preserve">then the long-term compounding thesis remains intact.</w:t>
      </w:r>
    </w:p>
    <w:p>
      <w:pPr>
        <w:pStyle w:val="BodyText"/>
      </w:pPr>
      <w:r>
        <w:t xml:space="preserve">The principal downside risk is that the diesel shock proves larger or more persistent than expected while residential weakness limits pricing acceptance. At VMC’s premium valuation, investors are likely to focus less on a few cents of EPS variance and more on whether the quarter supports a credible return to stronger unit-profit growth in the second half.</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https://m.in.investing.com/news/stock-market-news/mexico-to-pay-vulcan-materials-15-million-in-arbitration-case-93CH-5518324?ampMode=1&amp;utm_source=openai" TargetMode="External" /><Relationship Type="http://schemas.openxmlformats.org/officeDocument/2006/relationships/hyperlink" Id="rId20" Target="https://stg.vulcanmaterials.com/news-and-events/press-releases/2026/vulcan-sharpens-aggregates-focus-exits-california-concrete%2C-expands-aggregates-footprint-in-dallas-fort-worth-and-into-colorado-122505?utm_source=openai" TargetMode="External" /><Relationship Type="http://schemas.openxmlformats.org/officeDocument/2006/relationships/hyperlink" Id="rId27" Target="https://www.finanzen.net/schaetzungen/vulcan_materials?utm_source=openai" TargetMode="External" /><Relationship Type="http://schemas.openxmlformats.org/officeDocument/2006/relationships/hyperlink" Id="rId11" Target="https://www.marketbeat.com/earnings/reports/2026-7-29-vulcan-materials-stock/?utm_source=openai" TargetMode="External" /><Relationship Type="http://schemas.openxmlformats.org/officeDocument/2006/relationships/hyperlink" Id="rId18" Target="https://www.vulcanmaterials.com/news-and-events/press-releases/2025/vulcan-reports-second-quarter-2025-results?utm_source=openai" TargetMode="External" /><Relationship Type="http://schemas.openxmlformats.org/officeDocument/2006/relationships/hyperlink" Id="rId9" Target="https://www.vulcanmaterials.com/news-and-events/press-releases/2026/vulcan-announces-second-quarter-2026-conference-call-122507?utm_source=openai" TargetMode="External" /><Relationship Type="http://schemas.openxmlformats.org/officeDocument/2006/relationships/hyperlink" Id="rId13" Target="https://www.vulcanmaterials.com/news-and-events/press-releases/2026/vulcan-reports-first-quarter-2026-results-122503?utm_source=openai" TargetMode="External" /><Relationship Type="http://schemas.openxmlformats.org/officeDocument/2006/relationships/hyperlink" Id="rId14" Target="https://www.vulcanmaterials.com/news-and-events/press-releases/2026/vulcan-reports-fourth-quarter-and-full-year-2025-results-122499?utm_source=openai" TargetMode="External" /></Relationships>
</file>

<file path=word/_rels/footnotes.xml.rels><?xml version="1.0" encoding="UTF-8"?><Relationships xmlns="http://schemas.openxmlformats.org/package/2006/relationships"><Relationship Type="http://schemas.openxmlformats.org/officeDocument/2006/relationships/hyperlink" Id="rId24" Target="https://m.in.investing.com/news/stock-market-news/mexico-to-pay-vulcan-materials-15-million-in-arbitration-case-93CH-5518324?ampMode=1&amp;utm_source=openai" TargetMode="External" /><Relationship Type="http://schemas.openxmlformats.org/officeDocument/2006/relationships/hyperlink" Id="rId20" Target="https://stg.vulcanmaterials.com/news-and-events/press-releases/2026/vulcan-sharpens-aggregates-focus-exits-california-concrete%2C-expands-aggregates-footprint-in-dallas-fort-worth-and-into-colorado-122505?utm_source=openai" TargetMode="External" /><Relationship Type="http://schemas.openxmlformats.org/officeDocument/2006/relationships/hyperlink" Id="rId27" Target="https://www.finanzen.net/schaetzungen/vulcan_materials?utm_source=openai" TargetMode="External" /><Relationship Type="http://schemas.openxmlformats.org/officeDocument/2006/relationships/hyperlink" Id="rId11" Target="https://www.marketbeat.com/earnings/reports/2026-7-29-vulcan-materials-stock/?utm_source=openai" TargetMode="External" /><Relationship Type="http://schemas.openxmlformats.org/officeDocument/2006/relationships/hyperlink" Id="rId18" Target="https://www.vulcanmaterials.com/news-and-events/press-releases/2025/vulcan-reports-second-quarter-2025-results?utm_source=openai" TargetMode="External" /><Relationship Type="http://schemas.openxmlformats.org/officeDocument/2006/relationships/hyperlink" Id="rId9" Target="https://www.vulcanmaterials.com/news-and-events/press-releases/2026/vulcan-announces-second-quarter-2026-conference-call-122507?utm_source=openai" TargetMode="External" /><Relationship Type="http://schemas.openxmlformats.org/officeDocument/2006/relationships/hyperlink" Id="rId13" Target="https://www.vulcanmaterials.com/news-and-events/press-releases/2026/vulcan-reports-first-quarter-2026-results-122503?utm_source=openai" TargetMode="External" /><Relationship Type="http://schemas.openxmlformats.org/officeDocument/2006/relationships/hyperlink" Id="rId14" Target="https://www.vulcanmaterials.com/news-and-events/press-releases/2026/vulcan-reports-fourth-quarter-and-full-year-2025-results-122499?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2026-07-29T00:54:47Z</dcterms:created>
  <dcterms:modified xsi:type="dcterms:W3CDTF">2026-07-29T00:54:47Z</dcterms:modified>
</cp:coreProperties>
</file>

<file path=docProps/custom.xml><?xml version="1.0" encoding="utf-8"?>
<Properties xmlns="http://schemas.openxmlformats.org/officeDocument/2006/custom-properties" xmlns:vt="http://schemas.openxmlformats.org/officeDocument/2006/docPropsVTypes"/>
</file>