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mc-earnings-predictions--2026-07-29"/>
    <w:p>
      <w:pPr>
        <w:pStyle w:val="Heading1"/>
      </w:pPr>
      <w:r>
        <w:t xml:space="preserve">VMC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VMC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650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670M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VMC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 from continuing operations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2.35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2.45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VMC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Aggregates freight-adjusted sales price per ton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22.95</m:t>
              </m:r>
              <m:r>
                <m:rPr>
                  <m:sty m:val="p"/>
                </m:rPr>
                <m:t>/</m:t>
              </m:r>
              <m:r>
                <m:t>t</m:t>
              </m:r>
              <m:r>
                <m:t>o</m:t>
              </m:r>
              <m:r>
                <m:t>n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23.00/ton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VMC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2.50</m:t>
              </m:r>
              <m:r>
                <m:t>B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2.50B midpoint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VMC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aggregates shipment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~2.0% growth vs. cons ~2.0% growth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VMC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aggregates cash-cost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~4.0% growth vs. cons ~3.0% growth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VMC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VMC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(FOLLOW-THROUGH)</w:t>
            </w:r>
          </w:p>
        </w:tc>
        <w:tc>
          <w:tcPr/>
          <w:p>
            <w:pPr>
              <w:pStyle w:val="Compact"/>
            </w:pPr>
            <w:r>
              <w:t xml:space="preserve">A modest EBITDA and EPS miss with maintained ~</w:t>
            </w:r>
            <m:oMath>
              <m:r>
                <m:t>2.50</m:t>
              </m:r>
              <m:r>
                <m:t>B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l</m:t>
              </m:r>
              <m:r>
                <m:t>e</m:t>
              </m:r>
              <m:r>
                <m:t>a</m:t>
              </m:r>
              <m:r>
                <m:t>v</m:t>
              </m:r>
              <m:r>
                <m:t>e</m:t>
              </m:r>
              <m:r>
                <m:t>s</m:t>
              </m:r>
              <m:r>
                <m:t>r</m:t>
              </m:r>
              <m:r>
                <m:t>o</m:t>
              </m:r>
              <m:r>
                <m:t>u</m:t>
              </m:r>
              <m:r>
                <m:t>g</m:t>
              </m:r>
              <m:r>
                <m:t>h</m:t>
              </m:r>
              <m:r>
                <m:t>l</m:t>
              </m:r>
              <m:r>
                <m:t>y</m:t>
              </m:r>
              <m:r>
                <m:t> </m:t>
              </m:r>
            </m:oMath>
            <w:r>
              <w:t xml:space="preserve">1.40B of second-half Adjusted EBITDA needed versus consensus ~ $1.36B; the implied back-half step-up and above-consensus ~4.0% cash-cost growth should pull out-period estimates lower even if management does not formally cut guidance.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2026-07-29T00:52:58Z</dcterms:created>
  <dcterms:modified xsi:type="dcterms:W3CDTF">2026-07-29T00:52:58Z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