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830cd5aaf55c2895dc1caa0e80036ce7c172a2"/>
    <w:p>
      <w:pPr>
        <w:pStyle w:val="Heading1"/>
      </w:pPr>
      <w:r>
        <w:t xml:space="preserve">Vulcan Materials (NYSE: VMC) — 2Q26 Earnings Preview</w:t>
      </w:r>
    </w:p>
    <w:p>
      <w:pPr>
        <w:pStyle w:val="BlockText"/>
      </w:pPr>
      <w:r>
        <w:rPr>
          <w:b/>
          <w:bCs/>
        </w:rPr>
        <w:t xml:space="preserve">Timing correction:</w:t>
      </w:r>
      <w:r>
        <w:t xml:space="preserve"> </w:t>
      </w:r>
      <w:r>
        <w:t xml:space="preserve">VMC’s 2Q26 earnings call is scheduled for</w:t>
      </w:r>
      <w:r>
        <w:t xml:space="preserve"> </w:t>
      </w:r>
      <w:r>
        <w:rPr>
          <w:b/>
          <w:bCs/>
        </w:rPr>
        <w:t xml:space="preserve">today, Wednesday, July 29, 2026, at 9:00 a.m. CT</w:t>
      </w:r>
      <w:r>
        <w:t xml:space="preserve">—not tomorrow. The company reaffirmed that timing in its July 27 arbitration update.</w:t>
      </w:r>
    </w:p>
    <w:bookmarkStart w:id="9" w:name="bottom-line"/>
    <w:p>
      <w:pPr>
        <w:pStyle w:val="Heading2"/>
      </w:pPr>
      <w:r>
        <w:t xml:space="preserve">Bottom line</w:t>
      </w:r>
    </w:p>
    <w:p>
      <w:pPr>
        <w:pStyle w:val="FirstParagraph"/>
      </w:pPr>
      <w:r>
        <w:t xml:space="preserve">Vulcan enters 2Q with solid underlying aggregates demand and pricing momentum, but with a clearly flagged near-term cost headwind: higher diesel. The investment debate is less about whether demand is holding up—it appears to be—and more about whether</w:t>
      </w:r>
      <w:r>
        <w:t xml:space="preserve"> </w:t>
      </w:r>
      <w:r>
        <w:rPr>
          <w:b/>
          <w:bCs/>
        </w:rPr>
        <w:t xml:space="preserve">price realization, operating execution, and the temporary contribution from the California ready-mix business can offset roughly</w:t>
      </w:r>
      <w:r>
        <w:rPr>
          <w:b/>
          <w:bCs/>
        </w:rPr>
        <w:t xml:space="preserve"> </w:t>
      </w:r>
      <m:oMath>
        <m:r>
          <m:t>25</m:t>
        </m:r>
        <m:r>
          <m:t>m</m:t>
        </m:r>
        <m:r>
          <m:t>i</m:t>
        </m:r>
        <m:r>
          <m:t>l</m:t>
        </m:r>
        <m:r>
          <m:t>l</m:t>
        </m:r>
        <m:r>
          <m:t>i</m:t>
        </m:r>
        <m:r>
          <m:t>o</m:t>
        </m:r>
        <m:r>
          <m:t>n</m:t>
        </m:r>
        <m:r>
          <m:t>o</m:t>
        </m:r>
        <m:r>
          <m:t>f</m:t>
        </m:r>
        <m:r>
          <m:t>i</m:t>
        </m:r>
        <m:r>
          <m:t>n</m:t>
        </m:r>
        <m:r>
          <m:t>c</m:t>
        </m:r>
        <m:r>
          <m:t>r</m:t>
        </m:r>
        <m:r>
          <m:t>e</m:t>
        </m:r>
        <m:r>
          <m:t>m</m:t>
        </m:r>
        <m:r>
          <m:t>e</m:t>
        </m:r>
        <m:r>
          <m:t>n</m:t>
        </m:r>
        <m:r>
          <m:t>t</m:t>
        </m:r>
        <m:r>
          <m:t>a</m:t>
        </m:r>
        <m:r>
          <m:t>l</m:t>
        </m:r>
        <m:r>
          <m:t>2</m:t>
        </m:r>
        <m:r>
          <m:t>Q</m:t>
        </m:r>
        <m:r>
          <m:t>d</m:t>
        </m:r>
        <m:r>
          <m:t>i</m:t>
        </m:r>
        <m:r>
          <m:t>e</m:t>
        </m:r>
        <m:r>
          <m:t>s</m:t>
        </m:r>
        <m:r>
          <m:t>e</m:t>
        </m:r>
        <m:r>
          <m:t>l</m:t>
        </m:r>
        <m:r>
          <m:t>p</m:t>
        </m:r>
        <m:r>
          <m:t>r</m:t>
        </m:r>
        <m:r>
          <m:t>e</m:t>
        </m:r>
        <m:r>
          <m:t>s</m:t>
        </m:r>
        <m:r>
          <m:t>s</m:t>
        </m:r>
        <m:r>
          <m:t>u</m:t>
        </m:r>
        <m:r>
          <m:t>r</m:t>
        </m:r>
        <m:r>
          <m:t>e</m:t>
        </m:r>
        <m:r>
          <m:rPr>
            <m:sty m:val="p"/>
          </m:rPr>
          <m:t>*</m:t>
        </m:r>
        <m:r>
          <m:rPr>
            <m:sty m:val="p"/>
          </m:rPr>
          <m:t>*</m:t>
        </m:r>
        <m:r>
          <m:t>w</m:t>
        </m:r>
        <m:r>
          <m:t>i</m:t>
        </m:r>
        <m:r>
          <m:t>t</m:t>
        </m:r>
        <m:r>
          <m:t>h</m:t>
        </m:r>
        <m:r>
          <m:t>o</m:t>
        </m:r>
        <m:r>
          <m:t>u</m:t>
        </m:r>
        <m:r>
          <m:t>t</m:t>
        </m:r>
        <m:r>
          <m:t>f</m:t>
        </m:r>
        <m:r>
          <m:t>o</m:t>
        </m:r>
        <m:r>
          <m:t>r</m:t>
        </m:r>
        <m:r>
          <m:t>c</m:t>
        </m:r>
        <m:r>
          <m:t>i</m:t>
        </m:r>
        <m:r>
          <m:t>n</m:t>
        </m:r>
        <m:r>
          <m:t>g</m:t>
        </m:r>
        <m:r>
          <m:t>a</m:t>
        </m:r>
        <m:r>
          <m:t>r</m:t>
        </m:r>
        <m:r>
          <m:t>e</m:t>
        </m:r>
        <m:r>
          <m:t>d</m:t>
        </m:r>
        <m:r>
          <m:t>u</m:t>
        </m:r>
        <m:r>
          <m:t>c</m:t>
        </m:r>
        <m:r>
          <m:t>t</m:t>
        </m:r>
        <m:r>
          <m:t>i</m:t>
        </m:r>
        <m:r>
          <m:t>o</m:t>
        </m:r>
        <m:r>
          <m:t>n</m:t>
        </m:r>
        <m:r>
          <m:t>t</m:t>
        </m:r>
        <m:r>
          <m:t>o</m:t>
        </m:r>
        <m:r>
          <m:t>t</m:t>
        </m:r>
        <m:r>
          <m:t>h</m:t>
        </m:r>
        <m:r>
          <m:t>e</m:t>
        </m:r>
        <m:r>
          <m:t>c</m:t>
        </m:r>
        <m:r>
          <m:t>o</m:t>
        </m:r>
        <m:r>
          <m:t>m</m:t>
        </m:r>
        <m:r>
          <m:t>p</m:t>
        </m:r>
        <m:r>
          <m:t>a</m:t>
        </m:r>
        <m:r>
          <m:t>n</m:t>
        </m:r>
        <m:r>
          <m:t>y</m:t>
        </m:r>
        <m:r>
          <m:rPr>
            <m:sty m:val="p"/>
          </m:rPr>
          <m:t>’</m:t>
        </m:r>
        <m:r>
          <m:t>s</m:t>
        </m:r>
        <m:r>
          <m:rPr>
            <m:sty m:val="p"/>
          </m:rPr>
          <m:t>*</m:t>
        </m:r>
        <m:r>
          <m:rPr>
            <m:sty m:val="p"/>
          </m:rPr>
          <m:t>*</m:t>
        </m:r>
      </m:oMath>
      <w:r>
        <w:rPr>
          <w:b/>
          <w:bCs/>
        </w:rPr>
        <w:t xml:space="preserve">2.4–$2.6 billion</w:t>
      </w:r>
      <w:r>
        <w:t xml:space="preserve"> </w:t>
      </w:r>
      <w:r>
        <w:t xml:space="preserve">full-year Adjusted EBITDA outlook.</w:t>
      </w:r>
    </w:p>
    <w:p>
      <w:pPr>
        <w:pStyle w:val="BodyText"/>
      </w:pPr>
      <w:r>
        <w:t xml:space="preserve">The most important read-through from the release will be management’s confidence in the second-half margin recovery. VMC framed 2Q as the period when fuel inflation should be most acute, while midyear price increases and operating actions should become more meaningful later in the year. A maintained outlook, supported by evidence of accelerating aggregates pricing and continued shipment growth, would reinforce the company’s long-term aggregates-led earnings-compounding narrative.</w:t>
      </w:r>
    </w:p>
    <w:bookmarkEnd w:id="9"/>
    <w:bookmarkStart w:id="13" w:name="what-matters-most-this-quarter"/>
    <w:p>
      <w:pPr>
        <w:pStyle w:val="Heading2"/>
      </w:pPr>
      <w:r>
        <w:t xml:space="preserve">What matters most this quarter</w:t>
      </w:r>
    </w:p>
    <w:bookmarkStart w:id="10" w:name="X67cb21e0505ea2d37dc065507909aaf998636ff"/>
    <w:p>
      <w:pPr>
        <w:pStyle w:val="Heading3"/>
      </w:pPr>
      <w:r>
        <w:t xml:space="preserve">1. Aggregates pricing must accelerate</w:t>
      </w:r>
    </w:p>
    <w:p>
      <w:pPr>
        <w:pStyle w:val="FirstParagraph"/>
      </w:pPr>
      <w:r>
        <w:t xml:space="preserve">In 1Q, freight-adjusted aggregates price increased</w:t>
      </w:r>
      <w:r>
        <w:t xml:space="preserve"> </w:t>
      </w:r>
      <w:r>
        <w:rPr>
          <w:b/>
          <w:bCs/>
        </w:rPr>
        <w:t xml:space="preserve">3.5% reported</w:t>
      </w:r>
      <w:r>
        <w:t xml:space="preserve"> </w:t>
      </w:r>
      <w:r>
        <w:t xml:space="preserve">and</w:t>
      </w:r>
      <w:r>
        <w:t xml:space="preserve"> </w:t>
      </w:r>
      <w:r>
        <w:rPr>
          <w:b/>
          <w:bCs/>
        </w:rPr>
        <w:t xml:space="preserve">4% on a mix-adjusted basis</w:t>
      </w:r>
      <w:r>
        <w:t xml:space="preserve"> </w:t>
      </w:r>
      <w:r>
        <w:t xml:space="preserve">year over year. Management characterized that outcome as the low end of its anticipated full-year pricing cadence, partly due to difficult comparisons from prior-year hurricane-related demand and a greater mix of base material for public projects and data centers.</w:t>
      </w:r>
    </w:p>
    <w:p>
      <w:pPr>
        <w:pStyle w:val="BodyText"/>
      </w:pPr>
      <w:r>
        <w:t xml:space="preserve">For 2Q, investors should focus on:</w:t>
      </w:r>
    </w:p>
    <w:p>
      <w:pPr>
        <w:pStyle w:val="Compact"/>
        <w:numPr>
          <w:ilvl w:val="0"/>
          <w:numId w:val="1001"/>
        </w:numPr>
      </w:pPr>
      <w:r>
        <w:t xml:space="preserve">Whether reported and/or mix-adjusted price growth improves from 1Q.</w:t>
      </w:r>
    </w:p>
    <w:p>
      <w:pPr>
        <w:pStyle w:val="Compact"/>
        <w:numPr>
          <w:ilvl w:val="0"/>
          <w:numId w:val="1001"/>
        </w:numPr>
      </w:pPr>
      <w:r>
        <w:t xml:space="preserve">Early evidence that</w:t>
      </w:r>
      <w:r>
        <w:t xml:space="preserve"> </w:t>
      </w:r>
      <w:r>
        <w:rPr>
          <w:b/>
          <w:bCs/>
        </w:rPr>
        <w:t xml:space="preserve">midyear price increases</w:t>
      </w:r>
      <w:r>
        <w:t xml:space="preserve">, announced across all markets, are sticking.</w:t>
      </w:r>
    </w:p>
    <w:p>
      <w:pPr>
        <w:pStyle w:val="Compact"/>
        <w:numPr>
          <w:ilvl w:val="0"/>
          <w:numId w:val="1001"/>
        </w:numPr>
      </w:pPr>
      <w:r>
        <w:t xml:space="preserve">Whether data-center and public-project mix remains a modest drag on unit price but a positive for volumes, plant utilization, and cash costs.</w:t>
      </w:r>
    </w:p>
    <w:p>
      <w:pPr>
        <w:pStyle w:val="Compact"/>
        <w:numPr>
          <w:ilvl w:val="0"/>
          <w:numId w:val="1001"/>
        </w:numPr>
      </w:pPr>
      <w:r>
        <w:t xml:space="preserve">Management’s updated view of pricing exiting 2026—not merely the quarterly year-over-year comparison.</w:t>
      </w:r>
    </w:p>
    <w:p>
      <w:pPr>
        <w:pStyle w:val="FirstParagraph"/>
      </w:pPr>
      <w:r>
        <w:rPr>
          <w:b/>
          <w:bCs/>
        </w:rPr>
        <w:t xml:space="preserve">Why it matters:</w:t>
      </w:r>
      <w:r>
        <w:t xml:space="preserve"> </w:t>
      </w:r>
      <w:r>
        <w:t xml:space="preserve">VMC’s model depends on price compounding over time. If pricing accelerates as management indicated in April, the market is more likely to look through the 2Q fuel-cost squeeze.</w:t>
      </w:r>
    </w:p>
    <w:bookmarkEnd w:id="10"/>
    <w:bookmarkStart w:id="11" w:name="X82a86a195fe34f78109b0a3085b94d26179e279"/>
    <w:p>
      <w:pPr>
        <w:pStyle w:val="Heading3"/>
      </w:pPr>
      <w:r>
        <w:t xml:space="preserve">2. Diesel is the near-term swing factor for margins</w:t>
      </w:r>
    </w:p>
    <w:p>
      <w:pPr>
        <w:pStyle w:val="FirstParagraph"/>
      </w:pPr>
      <w:r>
        <w:t xml:space="preserve">Management specifically estimated that higher diesel could create an approximately</w:t>
      </w:r>
      <w:r>
        <w:t xml:space="preserve"> </w:t>
      </w:r>
      <w:r>
        <w:rPr>
          <w:b/>
          <w:bCs/>
        </w:rPr>
        <w:t xml:space="preserve">$25 million</w:t>
      </w:r>
      <w:r>
        <w:t xml:space="preserve"> </w:t>
      </w:r>
      <w:r>
        <w:t xml:space="preserve">headwind in 2Q. It also indicated that aggregates cash cost of sales growth could move into the</w:t>
      </w:r>
      <w:r>
        <w:t xml:space="preserve"> </w:t>
      </w:r>
      <w:r>
        <w:rPr>
          <w:b/>
          <w:bCs/>
        </w:rPr>
        <w:t xml:space="preserve">high-single-digit</w:t>
      </w:r>
      <w:r>
        <w:t xml:space="preserve"> </w:t>
      </w:r>
      <w:r>
        <w:t xml:space="preserve">range year over year in the quarter, versus</w:t>
      </w:r>
      <w:r>
        <w:t xml:space="preserve"> </w:t>
      </w:r>
      <w:r>
        <w:rPr>
          <w:b/>
          <w:bCs/>
        </w:rPr>
        <w:t xml:space="preserve">4%</w:t>
      </w:r>
      <w:r>
        <w:t xml:space="preserve"> </w:t>
      </w:r>
      <w:r>
        <w:t xml:space="preserve">in 1Q.</w:t>
      </w:r>
    </w:p>
    <w:p>
      <w:pPr>
        <w:pStyle w:val="BodyText"/>
      </w:pPr>
      <w:r>
        <w:t xml:space="preserve">Key questions:</w:t>
      </w:r>
    </w:p>
    <w:p>
      <w:pPr>
        <w:pStyle w:val="Compact"/>
        <w:numPr>
          <w:ilvl w:val="0"/>
          <w:numId w:val="1002"/>
        </w:numPr>
      </w:pPr>
      <w:r>
        <w:t xml:space="preserve">Did diesel costs land near, above, or below the ~$25 million estimate?</w:t>
      </w:r>
    </w:p>
    <w:p>
      <w:pPr>
        <w:pStyle w:val="Compact"/>
        <w:numPr>
          <w:ilvl w:val="0"/>
          <w:numId w:val="1002"/>
        </w:numPr>
      </w:pPr>
      <w:r>
        <w:t xml:space="preserve">Is fuel inflation easing, persisting, or worsening into July?</w:t>
      </w:r>
    </w:p>
    <w:p>
      <w:pPr>
        <w:pStyle w:val="Compact"/>
        <w:numPr>
          <w:ilvl w:val="0"/>
          <w:numId w:val="1002"/>
        </w:numPr>
      </w:pPr>
      <w:r>
        <w:t xml:space="preserve">How much has VMC offset through operating efficiency, changes to stripping activity, and commercial pricing actions?</w:t>
      </w:r>
    </w:p>
    <w:p>
      <w:pPr>
        <w:pStyle w:val="Compact"/>
        <w:numPr>
          <w:ilvl w:val="0"/>
          <w:numId w:val="1002"/>
        </w:numPr>
      </w:pPr>
      <w:r>
        <w:t xml:space="preserve">Is management still confident in</w:t>
      </w:r>
      <w:r>
        <w:t xml:space="preserve"> </w:t>
      </w:r>
      <w:r>
        <w:rPr>
          <w:b/>
          <w:bCs/>
        </w:rPr>
        <w:t xml:space="preserve">low-single-digit full-year aggregates cash-cost growth</w:t>
      </w:r>
      <w:r>
        <w:t xml:space="preserve">, as stated in 1Q?</w:t>
      </w:r>
    </w:p>
    <w:p>
      <w:pPr>
        <w:pStyle w:val="FirstParagraph"/>
      </w:pPr>
      <w:r>
        <w:t xml:space="preserve">The company’s message has been that delivery-related fuel exposure is largely covered by surcharges and that pricing and operational discipline can recover production-side energy inflation over time. The market will likely tolerate a weak 2Q margin comparison if management can credibly demonstrate that the issue is transitory and recoverable in the back half.</w:t>
      </w:r>
    </w:p>
    <w:bookmarkEnd w:id="11"/>
    <w:bookmarkStart w:id="12" w:name="X6fc784980d99468f5fcf9fa70f9172a66891a82"/>
    <w:p>
      <w:pPr>
        <w:pStyle w:val="Heading3"/>
      </w:pPr>
      <w:r>
        <w:t xml:space="preserve">3. Volumes: confirm low-single-digit full-year growth rather than extrapolate 1Q</w:t>
      </w:r>
    </w:p>
    <w:p>
      <w:pPr>
        <w:pStyle w:val="FirstParagraph"/>
      </w:pPr>
      <w:r>
        <w:t xml:space="preserve">Aggregates shipments rose</w:t>
      </w:r>
      <w:r>
        <w:t xml:space="preserve"> </w:t>
      </w:r>
      <w:r>
        <w:rPr>
          <w:b/>
          <w:bCs/>
        </w:rPr>
        <w:t xml:space="preserve">5%</w:t>
      </w:r>
      <w:r>
        <w:t xml:space="preserve"> </w:t>
      </w:r>
      <w:r>
        <w:t xml:space="preserve">in 1Q to</w:t>
      </w:r>
      <w:r>
        <w:t xml:space="preserve"> </w:t>
      </w:r>
      <w:r>
        <w:rPr>
          <w:b/>
          <w:bCs/>
        </w:rPr>
        <w:t xml:space="preserve">50.0 million tons</w:t>
      </w:r>
      <w:r>
        <w:t xml:space="preserve">, aided by more normal weather and demand from large projects. Management nevertheless maintained its full-year expectation for only</w:t>
      </w:r>
      <w:r>
        <w:t xml:space="preserve"> </w:t>
      </w:r>
      <w:r>
        <w:rPr>
          <w:b/>
          <w:bCs/>
        </w:rPr>
        <w:t xml:space="preserve">low-single-digit volume growth</w:t>
      </w:r>
      <w:r>
        <w:t xml:space="preserve">, noting that quarterly comparisons will become harder later in the year.</w:t>
      </w:r>
    </w:p>
    <w:p>
      <w:pPr>
        <w:pStyle w:val="BodyText"/>
      </w:pPr>
      <w:r>
        <w:t xml:space="preserve">The 2Q volume print should be assessed against three demand channels: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Demand driver</w:t>
            </w:r>
          </w:p>
        </w:tc>
        <w:tc>
          <w:tcPr/>
          <w:p>
            <w:pPr>
              <w:pStyle w:val="Compact"/>
            </w:pPr>
            <w:r>
              <w:t xml:space="preserve">Current setup</w:t>
            </w:r>
          </w:p>
        </w:tc>
        <w:tc>
          <w:tcPr/>
          <w:p>
            <w:pPr>
              <w:pStyle w:val="Compact"/>
            </w:pPr>
            <w:r>
              <w:t xml:space="preserve">What to watch</w:t>
            </w:r>
          </w:p>
        </w:tc>
      </w:tr>
      <w:tr>
        <w:tc>
          <w:tcPr/>
          <w:p>
            <w:pPr>
              <w:pStyle w:val="Compact"/>
            </w:pPr>
            <w:r>
              <w:rPr>
                <w:b/>
                <w:bCs/>
              </w:rPr>
              <w:t xml:space="preserve">Public infrastructure</w:t>
            </w:r>
          </w:p>
        </w:tc>
        <w:tc>
          <w:tcPr/>
          <w:p>
            <w:pPr>
              <w:pStyle w:val="Compact"/>
            </w:pPr>
            <w:r>
              <w:t xml:space="preserve">Strong and relatively visible</w:t>
            </w:r>
          </w:p>
        </w:tc>
        <w:tc>
          <w:tcPr/>
          <w:p>
            <w:pPr>
              <w:pStyle w:val="Compact"/>
            </w:pPr>
            <w:r>
              <w:t xml:space="preserve">Highway and infrastructure project conversion, state activity, and confidence around federal reauthorization</w:t>
            </w:r>
          </w:p>
        </w:tc>
      </w:tr>
      <w:tr>
        <w:tc>
          <w:tcPr/>
          <w:p>
            <w:pPr>
              <w:pStyle w:val="Compact"/>
            </w:pPr>
            <w:r>
              <w:rPr>
                <w:b/>
                <w:bCs/>
              </w:rPr>
              <w:t xml:space="preserve">Private nonresidential</w:t>
            </w:r>
          </w:p>
        </w:tc>
        <w:tc>
          <w:tcPr/>
          <w:p>
            <w:pPr>
              <w:pStyle w:val="Compact"/>
            </w:pPr>
            <w:r>
              <w:t xml:space="preserve">Strongest in data centers; energy projects emerging</w:t>
            </w:r>
          </w:p>
        </w:tc>
        <w:tc>
          <w:tcPr/>
          <w:p>
            <w:pPr>
              <w:pStyle w:val="Compact"/>
            </w:pPr>
            <w:r>
              <w:t xml:space="preserve">Project timing, backlog conversion, and broader manufacturing/warehouse activity</w:t>
            </w:r>
          </w:p>
        </w:tc>
      </w:tr>
      <w:tr>
        <w:tc>
          <w:tcPr/>
          <w:p>
            <w:pPr>
              <w:pStyle w:val="Compact"/>
            </w:pPr>
            <w:r>
              <w:rPr>
                <w:b/>
                <w:bCs/>
              </w:rPr>
              <w:t xml:space="preserve">Residential</w:t>
            </w:r>
          </w:p>
        </w:tc>
        <w:tc>
          <w:tcPr/>
          <w:p>
            <w:pPr>
              <w:pStyle w:val="Compact"/>
            </w:pPr>
            <w:r>
              <w:t xml:space="preserve">Still constrained by affordability</w:t>
            </w:r>
          </w:p>
        </w:tc>
        <w:tc>
          <w:tcPr/>
          <w:p>
            <w:pPr>
              <w:pStyle w:val="Compact"/>
            </w:pPr>
            <w:r>
              <w:t xml:space="preserve">Any signs of improvement in single-family or multifamily—not required for the 2026 plan, but meaningful upside optionality</w:t>
            </w:r>
          </w:p>
        </w:tc>
      </w:tr>
    </w:tbl>
    <w:p>
      <w:pPr>
        <w:pStyle w:val="BodyText"/>
      </w:pPr>
      <w:r>
        <w:t xml:space="preserve">Management previously said that 60% of large projects were within 50 miles of a Vulcan facility, underscoring the value of its local-market positions. Continued volume growth in this environment would support the thesis that VMC’s footprint is benefiting from large, logistics-intensive projects rather than simply following national construction trends.</w:t>
      </w:r>
    </w:p>
    <w:bookmarkEnd w:id="12"/>
    <w:bookmarkEnd w:id="13"/>
    <w:bookmarkStart w:id="14" w:name="Xdbffd1388ae15d2d992da7c73e995bcd5d9e01e"/>
    <w:p>
      <w:pPr>
        <w:pStyle w:val="Heading2"/>
      </w:pPr>
      <w:r>
        <w:t xml:space="preserve">Earnings framework: what VMC has to build on</w:t>
      </w:r>
    </w:p>
    <w:p>
      <w:pPr>
        <w:pStyle w:val="FirstParagraph"/>
      </w:pPr>
      <w:r>
        <w:t xml:space="preserve">VMC’s 1Q results established a strong starting point:</w:t>
      </w:r>
    </w:p>
    <w:p>
      <w:pPr>
        <w:pStyle w:val="Compact"/>
        <w:numPr>
          <w:ilvl w:val="0"/>
          <w:numId w:val="1003"/>
        </w:numPr>
      </w:pPr>
      <w:r>
        <w:rPr>
          <w:b/>
          <w:bCs/>
        </w:rPr>
        <w:t xml:space="preserve">Revenue:</w:t>
      </w:r>
      <w:r>
        <w:t xml:space="preserve"> </w:t>
      </w:r>
      <w:r>
        <w:t xml:space="preserve">$1.756 billion, up 7% year over year</w:t>
      </w:r>
    </w:p>
    <w:p>
      <w:pPr>
        <w:pStyle w:val="Compact"/>
        <w:numPr>
          <w:ilvl w:val="0"/>
          <w:numId w:val="1003"/>
        </w:numPr>
      </w:pPr>
      <w:r>
        <w:rPr>
          <w:b/>
          <w:bCs/>
        </w:rPr>
        <w:t xml:space="preserve">Adjusted EBITDA:</w:t>
      </w:r>
      <w:r>
        <w:t xml:space="preserve"> </w:t>
      </w:r>
      <w:r>
        <w:t xml:space="preserve">$447 million, up 9%</w:t>
      </w:r>
    </w:p>
    <w:p>
      <w:pPr>
        <w:pStyle w:val="Compact"/>
        <w:numPr>
          <w:ilvl w:val="0"/>
          <w:numId w:val="1003"/>
        </w:numPr>
      </w:pPr>
      <w:r>
        <w:rPr>
          <w:b/>
          <w:bCs/>
        </w:rPr>
        <w:t xml:space="preserve">Adjusted EBITDA margin:</w:t>
      </w:r>
      <w:r>
        <w:t xml:space="preserve"> </w:t>
      </w:r>
      <w:r>
        <w:t xml:space="preserve">25.5%, up 40 basis points</w:t>
      </w:r>
    </w:p>
    <w:p>
      <w:pPr>
        <w:pStyle w:val="Compact"/>
        <w:numPr>
          <w:ilvl w:val="0"/>
          <w:numId w:val="1003"/>
        </w:numPr>
      </w:pPr>
      <w:r>
        <w:rPr>
          <w:b/>
          <w:bCs/>
        </w:rPr>
        <w:t xml:space="preserve">Adjusted EPS from continuing operations:</w:t>
      </w:r>
      <w:r>
        <w:t xml:space="preserve"> </w:t>
      </w:r>
      <w:r>
        <w:t xml:space="preserve">$1.35, versus $1.00</w:t>
      </w:r>
    </w:p>
    <w:p>
      <w:pPr>
        <w:pStyle w:val="Compact"/>
        <w:numPr>
          <w:ilvl w:val="0"/>
          <w:numId w:val="1003"/>
        </w:numPr>
      </w:pPr>
      <w:r>
        <w:rPr>
          <w:b/>
          <w:bCs/>
        </w:rPr>
        <w:t xml:space="preserve">Aggregates gross profit per ton:</w:t>
      </w:r>
      <w:r>
        <w:t xml:space="preserve"> </w:t>
      </w:r>
      <w:r>
        <w:t xml:space="preserve">$8.01, versus $7.48</w:t>
      </w:r>
    </w:p>
    <w:p>
      <w:pPr>
        <w:pStyle w:val="Compact"/>
        <w:numPr>
          <w:ilvl w:val="0"/>
          <w:numId w:val="1003"/>
        </w:numPr>
      </w:pPr>
      <w:r>
        <w:rPr>
          <w:b/>
          <w:bCs/>
        </w:rPr>
        <w:t xml:space="preserve">Aggregates cash gross profit per ton:</w:t>
      </w:r>
      <w:r>
        <w:t xml:space="preserve"> </w:t>
      </w:r>
      <w:r>
        <w:t xml:space="preserve">$10.93, versus $10.63</w:t>
      </w:r>
    </w:p>
    <w:p>
      <w:pPr>
        <w:pStyle w:val="FirstParagraph"/>
      </w:pPr>
      <w:r>
        <w:t xml:space="preserve">The company maintained full-year Adjusted EBITDA guidance of</w:t>
      </w:r>
      <w:r>
        <w:t xml:space="preserve"> </w:t>
      </w:r>
      <m:oMath>
        <m:r>
          <m:t>2.4</m:t>
        </m:r>
        <m:r>
          <m:rPr>
            <m:sty m:val="p"/>
          </m:rPr>
          <m:t>–</m:t>
        </m:r>
      </m:oMath>
      <w:r>
        <w:rPr>
          <w:b/>
          <w:bCs/>
        </w:rPr>
        <w:t xml:space="preserve">2.6 billion</w:t>
      </w:r>
      <w:r>
        <w:t xml:space="preserve">, with a midpoint of $2.5 billion. That guidance range remains the central scorecard for the report.</w:t>
      </w:r>
    </w:p>
    <w:bookmarkEnd w:id="14"/>
    <w:bookmarkStart w:id="15" w:name="Xa0a27a250e71104f2abad3ae264cf48d7c2518f"/>
    <w:p>
      <w:pPr>
        <w:pStyle w:val="Heading2"/>
      </w:pPr>
      <w:r>
        <w:t xml:space="preserve">California ready-mix divestiture: helpful in 2Q, but a mix change thereafter</w:t>
      </w:r>
    </w:p>
    <w:p>
      <w:pPr>
        <w:pStyle w:val="FirstParagraph"/>
      </w:pPr>
      <w:r>
        <w:t xml:space="preserve">VMC expected the sale of its California ready-mixed concrete business to close during 2Q. Management noted that this business contributed approximately</w:t>
      </w:r>
      <w:r>
        <w:t xml:space="preserve"> </w:t>
      </w:r>
      <w:r>
        <w:rPr>
          <w:b/>
          <w:bCs/>
        </w:rPr>
        <w:t xml:space="preserve">$10 million of cash gross profit in 1Q</w:t>
      </w:r>
      <w:r>
        <w:t xml:space="preserve"> </w:t>
      </w:r>
      <w:r>
        <w:t xml:space="preserve">and could provide a helpful near-term offset to energy headwinds if it remained owned for part of 2Q.</w:t>
      </w:r>
    </w:p>
    <w:p>
      <w:pPr>
        <w:pStyle w:val="BodyText"/>
      </w:pPr>
      <w:r>
        <w:t xml:space="preserve">Investors should separate the near-term and long-term implications:</w:t>
      </w:r>
    </w:p>
    <w:p>
      <w:pPr>
        <w:pStyle w:val="Compact"/>
        <w:numPr>
          <w:ilvl w:val="0"/>
          <w:numId w:val="1004"/>
        </w:numPr>
      </w:pPr>
      <w:r>
        <w:rPr>
          <w:b/>
          <w:bCs/>
        </w:rPr>
        <w:t xml:space="preserve">Near term:</w:t>
      </w:r>
      <w:r>
        <w:t xml:space="preserve"> </w:t>
      </w:r>
      <w:r>
        <w:t xml:space="preserve">retained earnings contribution can soften 2Q cost pressure.</w:t>
      </w:r>
    </w:p>
    <w:p>
      <w:pPr>
        <w:pStyle w:val="Compact"/>
        <w:numPr>
          <w:ilvl w:val="0"/>
          <w:numId w:val="1004"/>
        </w:numPr>
      </w:pPr>
      <w:r>
        <w:rPr>
          <w:b/>
          <w:bCs/>
        </w:rPr>
        <w:t xml:space="preserve">Long term:</w:t>
      </w:r>
      <w:r>
        <w:t xml:space="preserve"> </w:t>
      </w:r>
      <w:r>
        <w:t xml:space="preserve">divestiture simplifies the portfolio and reinforces VMC’s strategy to concentrate capital on aggregates-led markets and growth opportunities.</w:t>
      </w:r>
    </w:p>
    <w:p>
      <w:pPr>
        <w:pStyle w:val="FirstParagraph"/>
      </w:pPr>
      <w:r>
        <w:t xml:space="preserve">The call should clarify closing timing, proceeds, any gains or charges, and the expected effect on reported downstream revenue and profits in the second half.</w:t>
      </w:r>
    </w:p>
    <w:bookmarkEnd w:id="15"/>
    <w:bookmarkStart w:id="16" w:name="X31a8fbc4749ade271048f315f2a7a5392321347"/>
    <w:p>
      <w:pPr>
        <w:pStyle w:val="Heading2"/>
      </w:pPr>
      <w:r>
        <w:t xml:space="preserve">NAFTA arbitration update: a new non-operating overhang</w:t>
      </w:r>
    </w:p>
    <w:p>
      <w:pPr>
        <w:pStyle w:val="FirstParagraph"/>
      </w:pPr>
      <w:r>
        <w:t xml:space="preserve">On July 27, VMC disclosed that the NAFTA tribunal found Mexico violated NAFTA in several respects but awarded</w:t>
      </w:r>
      <w:r>
        <w:t xml:space="preserve"> </w:t>
      </w:r>
      <w:r>
        <w:rPr>
          <w:b/>
          <w:bCs/>
        </w:rPr>
        <w:t xml:space="preserve">negligible monetary damages</w:t>
      </w:r>
      <w:r>
        <w:t xml:space="preserve">. Public reporting indicated the payment would be about</w:t>
      </w:r>
      <w:r>
        <w:t xml:space="preserve"> </w:t>
      </w:r>
      <m:oMath>
        <m:r>
          <m:t>15</m:t>
        </m:r>
        <m:r>
          <m:t>m</m:t>
        </m:r>
        <m:r>
          <m:t>i</m:t>
        </m:r>
        <m:r>
          <m:t>l</m:t>
        </m:r>
        <m:r>
          <m:t>l</m:t>
        </m:r>
        <m:r>
          <m:t>i</m:t>
        </m:r>
        <m:r>
          <m:t>o</m:t>
        </m:r>
        <m:r>
          <m:t>n</m:t>
        </m:r>
        <m:r>
          <m:rPr>
            <m:sty m:val="p"/>
          </m:rPr>
          <m:t>*</m:t>
        </m:r>
        <m:r>
          <m:rPr>
            <m:sty m:val="p"/>
          </m:rPr>
          <m:t>*</m:t>
        </m:r>
        <m:r>
          <m:rPr>
            <m:sty m:val="p"/>
          </m:rPr>
          <m:t>,</m:t>
        </m:r>
        <m:r>
          <m:t>f</m:t>
        </m:r>
        <m:r>
          <m:t>a</m:t>
        </m:r>
        <m:r>
          <m:t>r</m:t>
        </m:r>
        <m:r>
          <m:t>b</m:t>
        </m:r>
        <m:r>
          <m:t>e</m:t>
        </m:r>
        <m:r>
          <m:t>l</m:t>
        </m:r>
        <m:r>
          <m:t>o</m:t>
        </m:r>
        <m:r>
          <m:t>w</m:t>
        </m:r>
        <m:r>
          <m:t>V</m:t>
        </m:r>
        <m:r>
          <m:t>M</m:t>
        </m:r>
        <m:r>
          <m:t>C</m:t>
        </m:r>
        <m:r>
          <m:rPr>
            <m:sty m:val="p"/>
          </m:rPr>
          <m:t>’</m:t>
        </m:r>
        <m:r>
          <m:t>s</m:t>
        </m:r>
        <m:r>
          <m:t>r</m:t>
        </m:r>
        <m:r>
          <m:t>o</m:t>
        </m:r>
        <m:r>
          <m:t>u</m:t>
        </m:r>
        <m:r>
          <m:t>g</m:t>
        </m:r>
        <m:r>
          <m:t>h</m:t>
        </m:r>
        <m:r>
          <m:t>l</m:t>
        </m:r>
        <m:r>
          <m:t>y</m:t>
        </m:r>
        <m:r>
          <m:rPr>
            <m:sty m:val="p"/>
          </m:rPr>
          <m:t>*</m:t>
        </m:r>
        <m:r>
          <m:rPr>
            <m:sty m:val="p"/>
          </m:rPr>
          <m:t>*</m:t>
        </m:r>
      </m:oMath>
      <w:r>
        <w:rPr>
          <w:b/>
          <w:bCs/>
        </w:rPr>
        <w:t xml:space="preserve">1.7 billion</w:t>
      </w:r>
      <w:r>
        <w:t xml:space="preserve"> </w:t>
      </w:r>
      <w:r>
        <w:t xml:space="preserve">claim.</w:t>
      </w:r>
    </w:p>
    <w:p>
      <w:pPr>
        <w:pStyle w:val="BodyText"/>
      </w:pPr>
      <w:r>
        <w:t xml:space="preserve">This should not alter the operating aggregates thesis, but it is likely to be a call topic because it removes a potential legal-claim upside and may raise questions around:</w:t>
      </w:r>
    </w:p>
    <w:p>
      <w:pPr>
        <w:pStyle w:val="Compact"/>
        <w:numPr>
          <w:ilvl w:val="0"/>
          <w:numId w:val="1005"/>
        </w:numPr>
      </w:pPr>
      <w:r>
        <w:t xml:space="preserve">Any accounting or balance-sheet implications;</w:t>
      </w:r>
    </w:p>
    <w:p>
      <w:pPr>
        <w:pStyle w:val="Compact"/>
        <w:numPr>
          <w:ilvl w:val="0"/>
          <w:numId w:val="1005"/>
        </w:numPr>
      </w:pPr>
      <w:r>
        <w:t xml:space="preserve">Potential next steps or remedies;</w:t>
      </w:r>
    </w:p>
    <w:p>
      <w:pPr>
        <w:pStyle w:val="Compact"/>
        <w:numPr>
          <w:ilvl w:val="0"/>
          <w:numId w:val="1005"/>
        </w:numPr>
      </w:pPr>
      <w:r>
        <w:t xml:space="preserve">Whether management views the issue as fully resolved; and</w:t>
      </w:r>
    </w:p>
    <w:p>
      <w:pPr>
        <w:pStyle w:val="Compact"/>
        <w:numPr>
          <w:ilvl w:val="0"/>
          <w:numId w:val="1005"/>
        </w:numPr>
      </w:pPr>
      <w:r>
        <w:t xml:space="preserve">The effect, if any, on capital-allocation flexibility.</w:t>
      </w:r>
    </w:p>
    <w:p>
      <w:pPr>
        <w:pStyle w:val="FirstParagraph"/>
      </w:pPr>
      <w:r>
        <w:t xml:space="preserve">Absent an unusual accounting item, this looks more like a valuation and sentiment issue than a core 2Q operating driver.</w:t>
      </w:r>
    </w:p>
    <w:bookmarkEnd w:id="16"/>
    <w:bookmarkStart w:id="17" w:name="Xbf9da72c001c509a3d150fd936c5d1271fcd9e7"/>
    <w:p>
      <w:pPr>
        <w:pStyle w:val="Heading2"/>
      </w:pPr>
      <w:r>
        <w:t xml:space="preserve">Balance sheet and capital deployment remain strengths</w:t>
      </w:r>
    </w:p>
    <w:p>
      <w:pPr>
        <w:pStyle w:val="FirstParagraph"/>
      </w:pPr>
      <w:r>
        <w:t xml:space="preserve">VMC ended 1Q with total debt-to-trailing-12-month Adjusted EBITDA of</w:t>
      </w:r>
      <w:r>
        <w:t xml:space="preserve"> </w:t>
      </w:r>
      <w:r>
        <w:rPr>
          <w:b/>
          <w:bCs/>
        </w:rPr>
        <w:t xml:space="preserve">1.9x</w:t>
      </w:r>
      <w:r>
        <w:t xml:space="preserve">, below its stated target range of 2.0x–2.5x. It returned</w:t>
      </w:r>
      <w:r>
        <w:t xml:space="preserve"> </w:t>
      </w:r>
      <w:r>
        <w:rPr>
          <w:b/>
          <w:bCs/>
        </w:rPr>
        <w:t xml:space="preserve">$217 million</w:t>
      </w:r>
      <w:r>
        <w:t xml:space="preserve"> </w:t>
      </w:r>
      <w:r>
        <w:t xml:space="preserve">to shareholders in 1Q through $149 million of repurchases and $68 million of dividends.</w:t>
      </w:r>
    </w:p>
    <w:p>
      <w:pPr>
        <w:pStyle w:val="BodyText"/>
      </w:pPr>
      <w:r>
        <w:t xml:space="preserve">The company also described an active acquisition pipeline, several expected bolt-on closings, and ongoing greenfield and distribution investments. The earnings call should provide an update on:</w:t>
      </w:r>
    </w:p>
    <w:p>
      <w:pPr>
        <w:pStyle w:val="Compact"/>
        <w:numPr>
          <w:ilvl w:val="0"/>
          <w:numId w:val="1006"/>
        </w:numPr>
      </w:pPr>
      <w:r>
        <w:t xml:space="preserve">Closed or pending acquisitions;</w:t>
      </w:r>
    </w:p>
    <w:p>
      <w:pPr>
        <w:pStyle w:val="Compact"/>
        <w:numPr>
          <w:ilvl w:val="0"/>
          <w:numId w:val="1006"/>
        </w:numPr>
      </w:pPr>
      <w:r>
        <w:t xml:space="preserve">Greenfield plant and rail-yard ramp timing;</w:t>
      </w:r>
    </w:p>
    <w:p>
      <w:pPr>
        <w:pStyle w:val="Compact"/>
        <w:numPr>
          <w:ilvl w:val="0"/>
          <w:numId w:val="1006"/>
        </w:numPr>
      </w:pPr>
      <w:r>
        <w:t xml:space="preserve">Capital-expenditure expectations;</w:t>
      </w:r>
    </w:p>
    <w:p>
      <w:pPr>
        <w:pStyle w:val="Compact"/>
        <w:numPr>
          <w:ilvl w:val="0"/>
          <w:numId w:val="1006"/>
        </w:numPr>
      </w:pPr>
      <w:r>
        <w:t xml:space="preserve">Buyback cadence following the California concrete disposition; and</w:t>
      </w:r>
    </w:p>
    <w:p>
      <w:pPr>
        <w:pStyle w:val="Compact"/>
        <w:numPr>
          <w:ilvl w:val="0"/>
          <w:numId w:val="1006"/>
        </w:numPr>
      </w:pPr>
      <w:r>
        <w:t xml:space="preserve">Whether the arbitration outcome changes capital-allocation priorities.</w:t>
      </w:r>
    </w:p>
    <w:bookmarkEnd w:id="17"/>
    <w:bookmarkStart w:id="18" w:name="stock-setup"/>
    <w:p>
      <w:pPr>
        <w:pStyle w:val="Heading2"/>
      </w:pPr>
      <w:r>
        <w:t xml:space="preserve">Stock setup</w:t>
      </w:r>
    </w:p>
    <w:p>
      <w:pPr>
        <w:pStyle w:val="FirstParagraph"/>
      </w:pPr>
      <w:r>
        <w:t xml:space="preserve">VMC closed at</w:t>
      </w:r>
      <w:r>
        <w:t xml:space="preserve"> </w:t>
      </w:r>
      <w:r>
        <w:rPr>
          <w:b/>
          <w:bCs/>
        </w:rPr>
        <w:t xml:space="preserve">$288.46 on July 28</w:t>
      </w:r>
      <w:r>
        <w:t xml:space="preserve">, roughly</w:t>
      </w:r>
      <w:r>
        <w:t xml:space="preserve"> </w:t>
      </w:r>
      <w:r>
        <w:rPr>
          <w:b/>
          <w:bCs/>
        </w:rPr>
        <w:t xml:space="preserve">1.0% below</w:t>
      </w:r>
      <w:r>
        <w:t xml:space="preserve"> </w:t>
      </w:r>
      <w:r>
        <w:t xml:space="preserve">its April 28 close ahead of 1Q earnings and about</w:t>
      </w:r>
      <w:r>
        <w:t xml:space="preserve"> </w:t>
      </w:r>
      <w:r>
        <w:rPr>
          <w:b/>
          <w:bCs/>
        </w:rPr>
        <w:t xml:space="preserve">7.8% below</w:t>
      </w:r>
      <w:r>
        <w:t xml:space="preserve"> </w:t>
      </w:r>
      <w:r>
        <w:t xml:space="preserve">its June 25 closing high in the period. The setup therefore appears less dependent on a strong quarter in isolation and more dependent on management validating the full-year EBITDA range and the second-half earnings trajectory.</w:t>
      </w:r>
    </w:p>
    <w:bookmarkEnd w:id="18"/>
    <w:bookmarkStart w:id="22" w:name="potential-market-reactions"/>
    <w:p>
      <w:pPr>
        <w:pStyle w:val="Heading2"/>
      </w:pPr>
      <w:r>
        <w:t xml:space="preserve">Potential market reactions</w:t>
      </w:r>
    </w:p>
    <w:bookmarkStart w:id="19" w:name="constructive--upside-outcome"/>
    <w:p>
      <w:pPr>
        <w:pStyle w:val="Heading3"/>
      </w:pPr>
      <w:r>
        <w:t xml:space="preserve">Constructive / upside outcome</w:t>
      </w:r>
    </w:p>
    <w:p>
      <w:pPr>
        <w:pStyle w:val="Compact"/>
        <w:numPr>
          <w:ilvl w:val="0"/>
          <w:numId w:val="1007"/>
        </w:numPr>
      </w:pPr>
      <w:r>
        <w:t xml:space="preserve">Full-year EBITDA guidance is maintained or tightened.</w:t>
      </w:r>
    </w:p>
    <w:p>
      <w:pPr>
        <w:pStyle w:val="Compact"/>
        <w:numPr>
          <w:ilvl w:val="0"/>
          <w:numId w:val="1007"/>
        </w:numPr>
      </w:pPr>
      <w:r>
        <w:t xml:space="preserve">Aggregates shipment growth remains positive and broad-based.</w:t>
      </w:r>
    </w:p>
    <w:p>
      <w:pPr>
        <w:pStyle w:val="Compact"/>
        <w:numPr>
          <w:ilvl w:val="0"/>
          <w:numId w:val="1007"/>
        </w:numPr>
      </w:pPr>
      <w:r>
        <w:t xml:space="preserve">Pricing accelerates from 1Q and midyear increases are gaining traction.</w:t>
      </w:r>
    </w:p>
    <w:p>
      <w:pPr>
        <w:pStyle w:val="Compact"/>
        <w:numPr>
          <w:ilvl w:val="0"/>
          <w:numId w:val="1007"/>
        </w:numPr>
      </w:pPr>
      <w:r>
        <w:t xml:space="preserve">Fuel pressure is contained near the prior ~$25 million estimate.</w:t>
      </w:r>
    </w:p>
    <w:p>
      <w:pPr>
        <w:pStyle w:val="Compact"/>
        <w:numPr>
          <w:ilvl w:val="0"/>
          <w:numId w:val="1007"/>
        </w:numPr>
      </w:pPr>
      <w:r>
        <w:t xml:space="preserve">Management clearly supports a second-half margin recovery.</w:t>
      </w:r>
    </w:p>
    <w:p>
      <w:pPr>
        <w:pStyle w:val="Compact"/>
        <w:numPr>
          <w:ilvl w:val="0"/>
          <w:numId w:val="1007"/>
        </w:numPr>
      </w:pPr>
      <w:r>
        <w:t xml:space="preserve">Incremental evidence emerges of data-center, energy, public, or bolt-on acquisition growth.</w:t>
      </w:r>
    </w:p>
    <w:bookmarkEnd w:id="19"/>
    <w:bookmarkStart w:id="20" w:name="mixed-outcome"/>
    <w:p>
      <w:pPr>
        <w:pStyle w:val="Heading3"/>
      </w:pPr>
      <w:r>
        <w:t xml:space="preserve">Mixed outcome</w:t>
      </w:r>
    </w:p>
    <w:p>
      <w:pPr>
        <w:pStyle w:val="Compact"/>
        <w:numPr>
          <w:ilvl w:val="0"/>
          <w:numId w:val="1008"/>
        </w:numPr>
      </w:pPr>
      <w:r>
        <w:t xml:space="preserve">Results meet expectations, but 2Q margins are visibly compressed by diesel.</w:t>
      </w:r>
    </w:p>
    <w:p>
      <w:pPr>
        <w:pStyle w:val="Compact"/>
        <w:numPr>
          <w:ilvl w:val="0"/>
          <w:numId w:val="1008"/>
        </w:numPr>
      </w:pPr>
      <w:r>
        <w:t xml:space="preserve">Full-year guidance is maintained, though management offers limited detail on price realization or fuel recovery.</w:t>
      </w:r>
    </w:p>
    <w:p>
      <w:pPr>
        <w:pStyle w:val="Compact"/>
        <w:numPr>
          <w:ilvl w:val="0"/>
          <w:numId w:val="1008"/>
        </w:numPr>
      </w:pPr>
      <w:r>
        <w:t xml:space="preserve">Volumes grow but are concentrated in lower-priced base-material work.</w:t>
      </w:r>
    </w:p>
    <w:p>
      <w:pPr>
        <w:pStyle w:val="Compact"/>
        <w:numPr>
          <w:ilvl w:val="0"/>
          <w:numId w:val="1008"/>
        </w:numPr>
      </w:pPr>
      <w:r>
        <w:t xml:space="preserve">The California sale and arbitration update create noisy reported items.</w:t>
      </w:r>
    </w:p>
    <w:bookmarkEnd w:id="20"/>
    <w:bookmarkStart w:id="21" w:name="downside-outcome"/>
    <w:p>
      <w:pPr>
        <w:pStyle w:val="Heading3"/>
      </w:pPr>
      <w:r>
        <w:t xml:space="preserve">Downside outcome</w:t>
      </w:r>
    </w:p>
    <w:p>
      <w:pPr>
        <w:pStyle w:val="Compact"/>
        <w:numPr>
          <w:ilvl w:val="0"/>
          <w:numId w:val="1009"/>
        </w:numPr>
      </w:pPr>
      <w:r>
        <w:t xml:space="preserve">Fuel costs exceed expectations and price recovery appears delayed.</w:t>
      </w:r>
    </w:p>
    <w:p>
      <w:pPr>
        <w:pStyle w:val="Compact"/>
        <w:numPr>
          <w:ilvl w:val="0"/>
          <w:numId w:val="1009"/>
        </w:numPr>
      </w:pPr>
      <w:r>
        <w:t xml:space="preserve">Aggregates volumes slow materially or management reduces its low-single-digit growth outlook.</w:t>
      </w:r>
    </w:p>
    <w:p>
      <w:pPr>
        <w:pStyle w:val="Compact"/>
        <w:numPr>
          <w:ilvl w:val="0"/>
          <w:numId w:val="1009"/>
        </w:numPr>
      </w:pPr>
      <w:r>
        <w:t xml:space="preserve">Full-year EBITDA guidance is cut or the implied path to the midpoint relies heavily on an aggressive second-half recovery.</w:t>
      </w:r>
    </w:p>
    <w:p>
      <w:pPr>
        <w:pStyle w:val="Compact"/>
        <w:numPr>
          <w:ilvl w:val="0"/>
          <w:numId w:val="1009"/>
        </w:numPr>
      </w:pPr>
      <w:r>
        <w:t xml:space="preserve">Public funding, project timing, or nonresidential backlog conversion becomes less certain.</w:t>
      </w:r>
    </w:p>
    <w:bookmarkEnd w:id="21"/>
    <w:bookmarkEnd w:id="22"/>
    <w:bookmarkStart w:id="23" w:name="X9116bec721e8ecc27edd7ff5882de2109353ab2"/>
    <w:p>
      <w:pPr>
        <w:pStyle w:val="Heading2"/>
      </w:pPr>
      <w:r>
        <w:t xml:space="preserve">Questions investors should ask on the call</w:t>
      </w:r>
    </w:p>
    <w:p>
      <w:pPr>
        <w:pStyle w:val="Compact"/>
        <w:numPr>
          <w:ilvl w:val="0"/>
          <w:numId w:val="1010"/>
        </w:numPr>
      </w:pPr>
      <w:r>
        <w:rPr>
          <w:b/>
          <w:bCs/>
        </w:rPr>
        <w:t xml:space="preserve">What was aggregates freight-adjusted price growth in 2Q, and how much acceleration is expected in the second half?</w:t>
      </w:r>
    </w:p>
    <w:p>
      <w:pPr>
        <w:pStyle w:val="Compact"/>
        <w:numPr>
          <w:ilvl w:val="0"/>
          <w:numId w:val="1010"/>
        </w:numPr>
      </w:pPr>
      <w:r>
        <w:rPr>
          <w:b/>
          <w:bCs/>
        </w:rPr>
        <w:t xml:space="preserve">Did the diesel headwind approximate the previously indicated $25 million, and what is embedded in guidance for the remainder of 2026?</w:t>
      </w:r>
    </w:p>
    <w:p>
      <w:pPr>
        <w:pStyle w:val="Compact"/>
        <w:numPr>
          <w:ilvl w:val="0"/>
          <w:numId w:val="1010"/>
        </w:numPr>
      </w:pPr>
      <w:r>
        <w:rPr>
          <w:b/>
          <w:bCs/>
        </w:rPr>
        <w:t xml:space="preserve">How are midyear price increases being accepted across concrete, asphalt, and direct aggregates customers?</w:t>
      </w:r>
    </w:p>
    <w:p>
      <w:pPr>
        <w:pStyle w:val="Compact"/>
        <w:numPr>
          <w:ilvl w:val="0"/>
          <w:numId w:val="1010"/>
        </w:numPr>
      </w:pPr>
      <w:r>
        <w:rPr>
          <w:b/>
          <w:bCs/>
        </w:rPr>
        <w:t xml:space="preserve">Are shipments still tracking to low-single-digit full-year growth after accounting for tougher back-half comparisons?</w:t>
      </w:r>
    </w:p>
    <w:p>
      <w:pPr>
        <w:pStyle w:val="Compact"/>
        <w:numPr>
          <w:ilvl w:val="0"/>
          <w:numId w:val="1010"/>
        </w:numPr>
      </w:pPr>
      <w:r>
        <w:rPr>
          <w:b/>
          <w:bCs/>
        </w:rPr>
        <w:t xml:space="preserve">What is the status and financial impact of the California ready-mix divestiture?</w:t>
      </w:r>
    </w:p>
    <w:p>
      <w:pPr>
        <w:pStyle w:val="Compact"/>
        <w:numPr>
          <w:ilvl w:val="0"/>
          <w:numId w:val="1010"/>
        </w:numPr>
      </w:pPr>
      <w:r>
        <w:rPr>
          <w:b/>
          <w:bCs/>
        </w:rPr>
        <w:t xml:space="preserve">What are the latest trends in data-center, power/energy, manufacturing, warehouse, and public-infrastructure projects?</w:t>
      </w:r>
    </w:p>
    <w:p>
      <w:pPr>
        <w:pStyle w:val="Compact"/>
        <w:numPr>
          <w:ilvl w:val="0"/>
          <w:numId w:val="1010"/>
        </w:numPr>
      </w:pPr>
      <w:r>
        <w:rPr>
          <w:b/>
          <w:bCs/>
        </w:rPr>
        <w:t xml:space="preserve">Does the NAFTA arbitration decision create any accounting, cash-flow, or strategic implications beyond the negligible award?</w:t>
      </w:r>
    </w:p>
    <w:p>
      <w:pPr>
        <w:pStyle w:val="Compact"/>
        <w:numPr>
          <w:ilvl w:val="0"/>
          <w:numId w:val="1010"/>
        </w:numPr>
      </w:pPr>
      <w:r>
        <w:rPr>
          <w:b/>
          <w:bCs/>
        </w:rPr>
        <w:t xml:space="preserve">What bolt-on acquisitions, greenfield projects, and distribution investments are likely to affect 2026–27 growth?</w:t>
      </w:r>
    </w:p>
    <w:bookmarkEnd w:id="23"/>
    <w:bookmarkStart w:id="24" w:name="takeaway"/>
    <w:p>
      <w:pPr>
        <w:pStyle w:val="Heading2"/>
      </w:pPr>
      <w:r>
        <w:t xml:space="preserve">Takeaway</w:t>
      </w:r>
    </w:p>
    <w:p>
      <w:pPr>
        <w:pStyle w:val="FirstParagraph"/>
      </w:pPr>
      <w:r>
        <w:t xml:space="preserve">The core preview thesis is straightforward:</w:t>
      </w:r>
      <w:r>
        <w:t xml:space="preserve"> </w:t>
      </w:r>
      <w:r>
        <w:rPr>
          <w:b/>
          <w:bCs/>
        </w:rPr>
        <w:t xml:space="preserve">VMC needs to prove that 2Q is a temporary margin trough rather than the start of a broader earnings-reset story.</w:t>
      </w:r>
      <w:r>
        <w:t xml:space="preserve"> </w:t>
      </w:r>
      <w:r>
        <w:t xml:space="preserve">The company’s 1Q execution, favorable large-project exposure, pricing discipline, balance-sheet capacity, and aggregates-focused strategy provide a solid foundation. But the report must show that rising diesel costs are being managed and that pricing, volumes, and second-half operating leverage remain sufficient to defend the</w:t>
      </w:r>
      <w:r>
        <w:t xml:space="preserve"> </w:t>
      </w:r>
      <m:oMath>
        <m:r>
          <m:t>2.4</m:t>
        </m:r>
        <m:r>
          <m:rPr>
            <m:sty m:val="p"/>
          </m:rPr>
          <m:t>–</m:t>
        </m:r>
      </m:oMath>
      <w:r>
        <w:rPr>
          <w:b/>
          <w:bCs/>
        </w:rPr>
        <w:t xml:space="preserve">2.6 billion</w:t>
      </w:r>
      <w:r>
        <w:t xml:space="preserve"> </w:t>
      </w:r>
      <w:r>
        <w:t xml:space="preserve">full-year Adjusted EBITDA framework.</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2026-07-29T00:52:58Z</dcterms:created>
  <dcterms:modified xsi:type="dcterms:W3CDTF">2026-07-29T00:52:58Z</dcterms:modified>
</cp:coreProperties>
</file>

<file path=docProps/custom.xml><?xml version="1.0" encoding="utf-8"?>
<Properties xmlns="http://schemas.openxmlformats.org/officeDocument/2006/custom-properties" xmlns:vt="http://schemas.openxmlformats.org/officeDocument/2006/docPropsVTypes"/>
</file>