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Vulcan Materials Company (VMC)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Vulcan Materials Company</w:t>
            </w:r>
          </w:p>
        </w:tc>
      </w:tr>
      <w:tr>
        <w:tc>
          <w:tcPr>
            <w:tcW w:type="dxa" w:w="4320"/>
          </w:tcPr>
          <w:p>
            <w:r>
              <w:rPr>
                <w:rFonts w:ascii="Calibri" w:hAnsi="Calibri"/>
                <w:b/>
                <w:sz w:val="22"/>
              </w:rPr>
              <w:t>Ticker</w:t>
            </w:r>
          </w:p>
        </w:tc>
        <w:tc>
          <w:tcPr>
            <w:tcW w:type="dxa" w:w="4320"/>
          </w:tcPr>
          <w:p>
            <w:r>
              <w:rPr>
                <w:rFonts w:ascii="Calibri" w:hAnsi="Calibri"/>
                <w:sz w:val="22"/>
              </w:rPr>
              <w:t>NYSE: VMC</w:t>
            </w:r>
          </w:p>
        </w:tc>
      </w:tr>
      <w:tr>
        <w:tc>
          <w:tcPr>
            <w:tcW w:type="dxa" w:w="4320"/>
          </w:tcPr>
          <w:p>
            <w:r>
              <w:rPr>
                <w:rFonts w:ascii="Calibri" w:hAnsi="Calibri"/>
                <w:b/>
                <w:sz w:val="22"/>
              </w:rPr>
              <w:t>Upcoming Earnings Date</w:t>
            </w:r>
          </w:p>
        </w:tc>
        <w:tc>
          <w:tcPr>
            <w:tcW w:type="dxa" w:w="4320"/>
          </w:tcPr>
          <w:p>
            <w:r>
              <w:rPr>
                <w:rFonts w:ascii="Calibri" w:hAnsi="Calibri"/>
                <w:sz w:val="22"/>
              </w:rPr>
              <w:t>July 29, 2026 (Q2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Last Earnings</w:t>
            </w:r>
          </w:p>
        </w:tc>
        <w:tc>
          <w:tcPr>
            <w:tcW w:type="dxa" w:w="4320"/>
          </w:tcPr>
          <w:p>
            <w:r>
              <w:rPr>
                <w:rFonts w:ascii="Calibri" w:hAnsi="Calibri"/>
                <w:sz w:val="22"/>
              </w:rPr>
              <w:t>April 29, 2026 (Q1 2026)</w:t>
            </w:r>
          </w:p>
        </w:tc>
      </w:tr>
      <w:tr>
        <w:tc>
          <w:tcPr>
            <w:tcW w:type="dxa" w:w="4320"/>
          </w:tcPr>
          <w:p>
            <w:r>
              <w:rPr>
                <w:rFonts w:ascii="Calibri" w:hAnsi="Calibri"/>
                <w:b/>
                <w:sz w:val="22"/>
              </w:rPr>
              <w:t>Preparation Date</w:t>
            </w:r>
          </w:p>
        </w:tc>
        <w:tc>
          <w:tcPr>
            <w:tcW w:type="dxa" w:w="4320"/>
          </w:tcPr>
          <w:p>
            <w:r>
              <w:rPr>
                <w:rFonts w:ascii="Calibri" w:hAnsi="Calibri"/>
                <w:sz w:val="22"/>
              </w:rPr>
              <w:t>July 28,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moderately constructive — consensus is a manageable bar after Q1's strong beat, but the Q2 print is a direct test of whether mid-year price increases and Vulcan Way of Operating efficiencies can offset the </w:t>
      </w:r>
      <w:r>
        <w:rPr>
          <w:rFonts w:ascii="Calibri" w:hAnsi="Calibri"/>
          <w:b/>
          <w:color w:val="525866"/>
          <w:sz w:val="22"/>
        </w:rPr>
        <w:t>~$25M diesel headwind</w:t>
      </w:r>
      <w:r>
        <w:rPr>
          <w:rFonts w:ascii="Calibri" w:hAnsi="Calibri"/>
          <w:color w:val="525866"/>
          <w:sz w:val="22"/>
        </w:rPr>
        <w:t xml:space="preserve"> management flagged as most acute this quarter.</w:t>
      </w:r>
    </w:p>
    <w:p>
      <w:r>
        <w:rPr>
          <w:rFonts w:ascii="Calibri" w:hAnsi="Calibri"/>
          <w:color w:val="525866"/>
          <w:sz w:val="22"/>
        </w:rPr>
        <w:t xml:space="preserve">Heading into Q2 2026, the bar for Vulcan is achievable but not low: consensus sits at ~$646M Adjusted EBITDA and ~$2.46 EPS (diluted, continuing ops, operating), both of which represent meaningful year-over-year growth and embed the expectation that pricing acceleration in the back half offsets near-term energy cost pressure. Management was unusually explicit on the Q1 call about Q2 dynamics — guiding to unit cash costs running </w:t>
      </w:r>
      <w:r>
        <w:rPr>
          <w:rFonts w:ascii="Calibri" w:hAnsi="Calibri"/>
          <w:b/>
          <w:color w:val="525866"/>
          <w:sz w:val="22"/>
        </w:rPr>
        <w:t>~double Q1's year-over-year increase</w:t>
      </w:r>
      <w:r>
        <w:rPr>
          <w:rFonts w:ascii="Calibri" w:hAnsi="Calibri"/>
          <w:color w:val="525866"/>
          <w:sz w:val="22"/>
        </w:rPr>
        <w:t xml:space="preserve"> (high single digits) due to diesel, with a ~$25M drag concentrated in the quarter — which has likely already been absorbed into consensus. The guidance posture remains confident: full-year Adjusted EBITDA of $2.4–$2.6B was reiterated unchanged, mid-year price increases were announced across all markets several weeks ahead of last year's schedule, and management framed diesel as a manageable and temporary headwind rather than a structural problem. Estimate revisions since the Q1 print have been stable to slightly positive, with the Q2 consensus EBITDA estimate ticking up modestly from the post-Q1 baseline, suggesting the street is not pricing in a miss. The stock has underperformed both the S&amp;P 500 (+4.1%) and the materials ETF (IYM, flat) since the Q1 earnings date, declining ~2.6% to ~$284 as of July 27, which means the stock is not pricing in a beat — creating asymmetric upside if volumes and pricing come in at or above plan. The key wildcard is </w:t>
      </w:r>
    </w:p>
    <w:p>
      <w:r>
        <w:rPr>
          <w:rFonts w:ascii="Calibri" w:hAnsi="Calibri"/>
          <w:b/>
          <w:color w:val="525866"/>
          <w:sz w:val="22"/>
        </w:rPr>
        <w:t>aggregate shipment volume</w:t>
      </w:r>
      <w:r>
        <w:rPr>
          <w:rFonts w:ascii="Calibri" w:hAnsi="Calibri"/>
          <w:color w:val="525866"/>
          <w:sz w:val="22"/>
        </w:rPr>
        <w:t>: management guided to normal-weather shipments continuing as planned, but any weather disruption or project push-out in the June quarter could compress both volumes and the cash gross profit per ton metric that the market watches most closely. Peer commentary from Martin Marietta (MLM) and CRH is broadly supportive — both reported strong Q1 volumes, confirmed mid-year price increases across all markets, and flagged diesel peaking in Q2 before moderating — providing a constructive read-through for VMC's Q2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Q2 EBITDA of ~$646M implies ~10% YoY growth, achievable if mid-year pricing flows through and diesel headwinds are contained. </w:t>
      </w:r>
    </w:p>
    <w:p>
      <w:r>
        <w:rPr>
          <w:rFonts w:ascii="Calibri" w:hAnsi="Calibri"/>
          <w:b/>
          <w:color w:val="525866"/>
          <w:sz w:val="22"/>
        </w:rPr>
        <w:t>Aggregates Cash Gross Profit per Ton</w:t>
      </w:r>
      <w:r>
        <w:rPr>
          <w:rFonts w:ascii="Calibri" w:hAnsi="Calibri"/>
          <w:color w:val="525866"/>
          <w:sz w:val="22"/>
        </w:rPr>
        <w:t xml:space="preserve"> is the bigger swing factor: at $11.85 consensus vs. $10.93 in Q1 2026, the street is modeling meaningful sequential improvement that depends on pricing acceleration and cost discipline holding.</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$1,756M</w:t>
            </w:r>
          </w:p>
        </w:tc>
        <w:tc>
          <w:tcPr>
            <w:tcW w:type="dxa" w:w="1234"/>
          </w:tcPr>
          <w:p>
            <w:r>
              <w:rPr>
                <w:rFonts w:ascii="Calibri" w:hAnsi="Calibri"/>
                <w:sz w:val="22"/>
              </w:rPr>
              <w:t>$2,102M</w:t>
            </w:r>
          </w:p>
        </w:tc>
        <w:tc>
          <w:tcPr>
            <w:tcW w:type="dxa" w:w="1234"/>
          </w:tcPr>
          <w:p>
            <w:r>
              <w:rPr>
                <w:rFonts w:ascii="Calibri" w:hAnsi="Calibri"/>
                <w:sz w:val="22"/>
              </w:rPr>
              <w:t>$2,128M</w:t>
            </w:r>
          </w:p>
        </w:tc>
        <w:tc>
          <w:tcPr>
            <w:tcW w:type="dxa" w:w="1234"/>
          </w:tcPr>
          <w:p>
            <w:r>
              <w:rPr>
                <w:rFonts w:ascii="Calibri" w:hAnsi="Calibri"/>
                <w:sz w:val="22"/>
              </w:rPr>
              <w:t>+1.2%</w:t>
            </w:r>
          </w:p>
        </w:tc>
        <w:tc>
          <w:tcPr>
            <w:tcW w:type="dxa" w:w="1234"/>
          </w:tcPr>
          <w:p>
            <w:r>
              <w:rPr>
                <w:rFonts w:ascii="Calibri" w:hAnsi="Calibri"/>
                <w:sz w:val="22"/>
              </w:rPr>
              <w:t>~$8.1B (implied)</w:t>
            </w:r>
          </w:p>
        </w:tc>
        <w:tc>
          <w:tcPr>
            <w:tcW w:type="dxa" w:w="1234"/>
          </w:tcPr>
          <w:p>
            <w:r>
              <w:rPr>
                <w:rFonts w:ascii="Calibri" w:hAnsi="Calibri"/>
                <w:sz w:val="22"/>
              </w:rPr>
              <w:t>~+1.5% vs. implied midpoint</w:t>
            </w:r>
          </w:p>
        </w:tc>
      </w:tr>
      <w:tr>
        <w:tc>
          <w:tcPr>
            <w:tcW w:type="dxa" w:w="1234"/>
          </w:tcPr>
          <w:p>
            <w:r>
              <w:rPr>
                <w:rFonts w:ascii="Calibri" w:hAnsi="Calibri"/>
                <w:sz w:val="22"/>
              </w:rPr>
              <w:t>Adjusted EBITDA ($M)</w:t>
            </w:r>
          </w:p>
        </w:tc>
        <w:tc>
          <w:tcPr>
            <w:tcW w:type="dxa" w:w="1234"/>
          </w:tcPr>
          <w:p>
            <w:r>
              <w:rPr>
                <w:rFonts w:ascii="Calibri" w:hAnsi="Calibri"/>
                <w:sz w:val="22"/>
              </w:rPr>
              <w:t>$447M</w:t>
            </w:r>
          </w:p>
        </w:tc>
        <w:tc>
          <w:tcPr>
            <w:tcW w:type="dxa" w:w="1234"/>
          </w:tcPr>
          <w:p>
            <w:r>
              <w:rPr>
                <w:rFonts w:ascii="Calibri" w:hAnsi="Calibri"/>
                <w:sz w:val="22"/>
              </w:rPr>
              <w:t>$660M</w:t>
            </w:r>
          </w:p>
        </w:tc>
        <w:tc>
          <w:tcPr>
            <w:tcW w:type="dxa" w:w="1234"/>
          </w:tcPr>
          <w:p>
            <w:r>
              <w:rPr>
                <w:rFonts w:ascii="Calibri" w:hAnsi="Calibri"/>
                <w:sz w:val="22"/>
              </w:rPr>
              <w:t>$646M</w:t>
            </w:r>
          </w:p>
        </w:tc>
        <w:tc>
          <w:tcPr>
            <w:tcW w:type="dxa" w:w="1234"/>
          </w:tcPr>
          <w:p>
            <w:r>
              <w:rPr>
                <w:rFonts w:ascii="Calibri" w:hAnsi="Calibri"/>
                <w:sz w:val="22"/>
              </w:rPr>
              <w:t>-2.1%</w:t>
            </w:r>
          </w:p>
        </w:tc>
        <w:tc>
          <w:tcPr>
            <w:tcW w:type="dxa" w:w="1234"/>
          </w:tcPr>
          <w:p>
            <w:r>
              <w:rPr>
                <w:rFonts w:ascii="Calibri" w:hAnsi="Calibri"/>
                <w:sz w:val="22"/>
              </w:rPr>
              <w:t>$2,400–$2,600M ($2,500M mid)</w:t>
            </w:r>
          </w:p>
        </w:tc>
        <w:tc>
          <w:tcPr>
            <w:tcW w:type="dxa" w:w="1234"/>
          </w:tcPr>
          <w:p>
            <w:r>
              <w:rPr>
                <w:rFonts w:ascii="Calibri" w:hAnsi="Calibri"/>
                <w:sz w:val="22"/>
              </w:rPr>
              <w:t>FY consensus $2,459M vs. $2,500M mid (-1.6%)</w:t>
            </w:r>
          </w:p>
        </w:tc>
      </w:tr>
      <w:tr>
        <w:tc>
          <w:tcPr>
            <w:tcW w:type="dxa" w:w="1234"/>
          </w:tcPr>
          <w:p>
            <w:r>
              <w:rPr>
                <w:rFonts w:ascii="Calibri" w:hAnsi="Calibri"/>
                <w:sz w:val="22"/>
              </w:rPr>
              <w:t>Adj. EPS — Diluted, Cont. Ops ($)</w:t>
            </w:r>
          </w:p>
        </w:tc>
        <w:tc>
          <w:tcPr>
            <w:tcW w:type="dxa" w:w="1234"/>
          </w:tcPr>
          <w:p>
            <w:r>
              <w:rPr>
                <w:rFonts w:ascii="Calibri" w:hAnsi="Calibri"/>
                <w:sz w:val="22"/>
              </w:rPr>
              <w:t>$1.35</w:t>
            </w:r>
          </w:p>
        </w:tc>
        <w:tc>
          <w:tcPr>
            <w:tcW w:type="dxa" w:w="1234"/>
          </w:tcPr>
          <w:p>
            <w:r>
              <w:rPr>
                <w:rFonts w:ascii="Calibri" w:hAnsi="Calibri"/>
                <w:sz w:val="22"/>
              </w:rPr>
              <w:t>$2.45</w:t>
            </w:r>
          </w:p>
        </w:tc>
        <w:tc>
          <w:tcPr>
            <w:tcW w:type="dxa" w:w="1234"/>
          </w:tcPr>
          <w:p>
            <w:r>
              <w:rPr>
                <w:rFonts w:ascii="Calibri" w:hAnsi="Calibri"/>
                <w:sz w:val="22"/>
              </w:rPr>
              <w:t>$2.46</w:t>
            </w:r>
          </w:p>
        </w:tc>
        <w:tc>
          <w:tcPr>
            <w:tcW w:type="dxa" w:w="1234"/>
          </w:tcPr>
          <w:p>
            <w:r>
              <w:rPr>
                <w:rFonts w:ascii="Calibri" w:hAnsi="Calibri"/>
                <w:sz w:val="22"/>
              </w:rPr>
              <w:t>+0.4%</w:t>
            </w:r>
          </w:p>
        </w:tc>
        <w:tc>
          <w:tcPr>
            <w:tcW w:type="dxa" w:w="1234"/>
          </w:tcPr>
          <w:p>
            <w:r>
              <w:rPr>
                <w:rFonts w:ascii="Calibri" w:hAnsi="Calibri"/>
                <w:sz w:val="22"/>
              </w:rPr>
              <w:t>N/A (no EPS guidance)</w:t>
            </w:r>
          </w:p>
        </w:tc>
        <w:tc>
          <w:tcPr>
            <w:tcW w:type="dxa" w:w="1234"/>
          </w:tcPr>
          <w:p>
            <w:r>
              <w:rPr>
                <w:rFonts w:ascii="Calibri" w:hAnsi="Calibri"/>
                <w:sz w:val="22"/>
              </w:rPr>
              <w:t>N/A</w:t>
            </w:r>
          </w:p>
        </w:tc>
      </w:tr>
      <w:tr>
        <w:tc>
          <w:tcPr>
            <w:tcW w:type="dxa" w:w="1234"/>
          </w:tcPr>
          <w:p>
            <w:r>
              <w:rPr>
                <w:rFonts w:ascii="Calibri" w:hAnsi="Calibri"/>
                <w:sz w:val="22"/>
              </w:rPr>
              <w:t>Aggregates Volume (M tons)</w:t>
            </w:r>
          </w:p>
        </w:tc>
        <w:tc>
          <w:tcPr>
            <w:tcW w:type="dxa" w:w="1234"/>
          </w:tcPr>
          <w:p>
            <w:r>
              <w:rPr>
                <w:rFonts w:ascii="Calibri" w:hAnsi="Calibri"/>
                <w:sz w:val="22"/>
              </w:rPr>
              <w:t>50.0M tons</w:t>
            </w:r>
          </w:p>
        </w:tc>
        <w:tc>
          <w:tcPr>
            <w:tcW w:type="dxa" w:w="1234"/>
          </w:tcPr>
          <w:p>
            <w:r>
              <w:rPr>
                <w:rFonts w:ascii="Calibri" w:hAnsi="Calibri"/>
                <w:sz w:val="22"/>
              </w:rPr>
              <w:t>59.3M tons</w:t>
            </w:r>
          </w:p>
        </w:tc>
        <w:tc>
          <w:tcPr>
            <w:tcW w:type="dxa" w:w="1234"/>
          </w:tcPr>
          <w:p>
            <w:r>
              <w:rPr>
                <w:rFonts w:ascii="Calibri" w:hAnsi="Calibri"/>
                <w:sz w:val="22"/>
              </w:rPr>
              <w:t>60.1M tons</w:t>
            </w:r>
          </w:p>
        </w:tc>
        <w:tc>
          <w:tcPr>
            <w:tcW w:type="dxa" w:w="1234"/>
          </w:tcPr>
          <w:p>
            <w:r>
              <w:rPr>
                <w:rFonts w:ascii="Calibri" w:hAnsi="Calibri"/>
                <w:sz w:val="22"/>
              </w:rPr>
              <w:t>+1.3%</w:t>
            </w:r>
          </w:p>
        </w:tc>
        <w:tc>
          <w:tcPr>
            <w:tcW w:type="dxa" w:w="1234"/>
          </w:tcPr>
          <w:p>
            <w:r>
              <w:rPr>
                <w:rFonts w:ascii="Calibri" w:hAnsi="Calibri"/>
                <w:sz w:val="22"/>
              </w:rPr>
              <w:t>Low single-digit growth (FY)</w:t>
            </w:r>
          </w:p>
        </w:tc>
        <w:tc>
          <w:tcPr>
            <w:tcW w:type="dxa" w:w="1234"/>
          </w:tcPr>
          <w:p>
            <w:r>
              <w:rPr>
                <w:rFonts w:ascii="Calibri" w:hAnsi="Calibri"/>
                <w:sz w:val="22"/>
              </w:rPr>
              <w:t>FY consensus 231.3M tons vs. guidance</w:t>
            </w:r>
          </w:p>
        </w:tc>
      </w:tr>
      <w:tr>
        <w:tc>
          <w:tcPr>
            <w:tcW w:type="dxa" w:w="1234"/>
          </w:tcPr>
          <w:p>
            <w:r>
              <w:rPr>
                <w:rFonts w:ascii="Calibri" w:hAnsi="Calibri"/>
                <w:sz w:val="22"/>
              </w:rPr>
              <w:t>Agg. Freight-Adj. Avg. Price ($/ton)</w:t>
            </w:r>
          </w:p>
        </w:tc>
        <w:tc>
          <w:tcPr>
            <w:tcW w:type="dxa" w:w="1234"/>
          </w:tcPr>
          <w:p>
            <w:r>
              <w:rPr>
                <w:rFonts w:ascii="Calibri" w:hAnsi="Calibri"/>
                <w:sz w:val="22"/>
              </w:rPr>
              <w:t>$22.80</w:t>
            </w:r>
          </w:p>
        </w:tc>
        <w:tc>
          <w:tcPr>
            <w:tcW w:type="dxa" w:w="1234"/>
          </w:tcPr>
          <w:p>
            <w:r>
              <w:rPr>
                <w:rFonts w:ascii="Calibri" w:hAnsi="Calibri"/>
                <w:sz w:val="22"/>
              </w:rPr>
              <w:t>$22.11</w:t>
            </w:r>
          </w:p>
        </w:tc>
        <w:tc>
          <w:tcPr>
            <w:tcW w:type="dxa" w:w="1234"/>
          </w:tcPr>
          <w:p>
            <w:r>
              <w:rPr>
                <w:rFonts w:ascii="Calibri" w:hAnsi="Calibri"/>
                <w:sz w:val="22"/>
              </w:rPr>
              <w:t>$23.02</w:t>
            </w:r>
          </w:p>
        </w:tc>
        <w:tc>
          <w:tcPr>
            <w:tcW w:type="dxa" w:w="1234"/>
          </w:tcPr>
          <w:p>
            <w:r>
              <w:rPr>
                <w:rFonts w:ascii="Calibri" w:hAnsi="Calibri"/>
                <w:sz w:val="22"/>
              </w:rPr>
              <w:t>+4.1%</w:t>
            </w:r>
          </w:p>
        </w:tc>
        <w:tc>
          <w:tcPr>
            <w:tcW w:type="dxa" w:w="1234"/>
          </w:tcPr>
          <w:p>
            <w:r>
              <w:rPr>
                <w:rFonts w:ascii="Calibri" w:hAnsi="Calibri"/>
                <w:sz w:val="22"/>
              </w:rPr>
              <w:t>Mid-single-digit growth (FY)</w:t>
            </w:r>
          </w:p>
        </w:tc>
        <w:tc>
          <w:tcPr>
            <w:tcW w:type="dxa" w:w="1234"/>
          </w:tcPr>
          <w:p>
            <w:r>
              <w:rPr>
                <w:rFonts w:ascii="Calibri" w:hAnsi="Calibri"/>
                <w:sz w:val="22"/>
              </w:rPr>
              <w:t>FY consensus $23.10 — in line with guidance</w:t>
            </w:r>
          </w:p>
        </w:tc>
      </w:tr>
      <w:tr>
        <w:tc>
          <w:tcPr>
            <w:tcW w:type="dxa" w:w="1234"/>
          </w:tcPr>
          <w:p>
            <w:r>
              <w:rPr>
                <w:rFonts w:ascii="Calibri" w:hAnsi="Calibri"/>
                <w:sz w:val="22"/>
              </w:rPr>
              <w:t>Agg. Cash Gross Profit/Ton ($)</w:t>
            </w:r>
          </w:p>
        </w:tc>
        <w:tc>
          <w:tcPr>
            <w:tcW w:type="dxa" w:w="1234"/>
          </w:tcPr>
          <w:p>
            <w:r>
              <w:rPr>
                <w:rFonts w:ascii="Calibri" w:hAnsi="Calibri"/>
                <w:sz w:val="22"/>
              </w:rPr>
              <w:t>$10.93</w:t>
            </w:r>
          </w:p>
        </w:tc>
        <w:tc>
          <w:tcPr>
            <w:tcW w:type="dxa" w:w="1234"/>
          </w:tcPr>
          <w:p>
            <w:r>
              <w:rPr>
                <w:rFonts w:ascii="Calibri" w:hAnsi="Calibri"/>
                <w:sz w:val="22"/>
              </w:rPr>
              <w:t>$11.87</w:t>
            </w:r>
          </w:p>
        </w:tc>
        <w:tc>
          <w:tcPr>
            <w:tcW w:type="dxa" w:w="1234"/>
          </w:tcPr>
          <w:p>
            <w:r>
              <w:rPr>
                <w:rFonts w:ascii="Calibri" w:hAnsi="Calibri"/>
                <w:sz w:val="22"/>
              </w:rPr>
              <w:t>$11.85</w:t>
            </w:r>
          </w:p>
        </w:tc>
        <w:tc>
          <w:tcPr>
            <w:tcW w:type="dxa" w:w="1234"/>
          </w:tcPr>
          <w:p>
            <w:r>
              <w:rPr>
                <w:rFonts w:ascii="Calibri" w:hAnsi="Calibri"/>
                <w:sz w:val="22"/>
              </w:rPr>
              <w:t>-0.2%</w:t>
            </w:r>
          </w:p>
        </w:tc>
        <w:tc>
          <w:tcPr>
            <w:tcW w:type="dxa" w:w="1234"/>
          </w:tcPr>
          <w:p>
            <w:r>
              <w:rPr>
                <w:rFonts w:ascii="Calibri" w:hAnsi="Calibri"/>
                <w:sz w:val="22"/>
              </w:rPr>
              <w:t>N/A (no direct guidance)</w:t>
            </w:r>
          </w:p>
        </w:tc>
        <w:tc>
          <w:tcPr>
            <w:tcW w:type="dxa" w:w="1234"/>
          </w:tcPr>
          <w:p>
            <w:r>
              <w:rPr>
                <w:rFonts w:ascii="Calibri" w:hAnsi="Calibri"/>
                <w:sz w:val="22"/>
              </w:rPr>
              <w:t>N/A</w:t>
            </w:r>
          </w:p>
        </w:tc>
      </w:tr>
      <w:tr>
        <w:tc>
          <w:tcPr>
            <w:tcW w:type="dxa" w:w="1234"/>
          </w:tcPr>
          <w:p>
            <w:r>
              <w:rPr>
                <w:rFonts w:ascii="Calibri" w:hAnsi="Calibri"/>
                <w:sz w:val="22"/>
              </w:rPr>
              <w:t>Agg. Freight-Adj. Unit Cash Cost ($/ton)</w:t>
            </w:r>
          </w:p>
        </w:tc>
        <w:tc>
          <w:tcPr>
            <w:tcW w:type="dxa" w:w="1234"/>
          </w:tcPr>
          <w:p>
            <w:r>
              <w:rPr>
                <w:rFonts w:ascii="Calibri" w:hAnsi="Calibri"/>
                <w:sz w:val="22"/>
              </w:rPr>
              <w:t>$11.88</w:t>
            </w:r>
          </w:p>
        </w:tc>
        <w:tc>
          <w:tcPr>
            <w:tcW w:type="dxa" w:w="1234"/>
          </w:tcPr>
          <w:p>
            <w:r>
              <w:rPr>
                <w:rFonts w:ascii="Calibri" w:hAnsi="Calibri"/>
                <w:sz w:val="22"/>
              </w:rPr>
              <w:t>$10.24</w:t>
            </w:r>
          </w:p>
        </w:tc>
        <w:tc>
          <w:tcPr>
            <w:tcW w:type="dxa" w:w="1234"/>
          </w:tcPr>
          <w:p>
            <w:r>
              <w:rPr>
                <w:rFonts w:ascii="Calibri" w:hAnsi="Calibri"/>
                <w:sz w:val="22"/>
              </w:rPr>
              <w:t>$11.20</w:t>
            </w:r>
          </w:p>
        </w:tc>
        <w:tc>
          <w:tcPr>
            <w:tcW w:type="dxa" w:w="1234"/>
          </w:tcPr>
          <w:p>
            <w:r>
              <w:rPr>
                <w:rFonts w:ascii="Calibri" w:hAnsi="Calibri"/>
                <w:sz w:val="22"/>
              </w:rPr>
              <w:t>+9.4%</w:t>
            </w:r>
          </w:p>
        </w:tc>
        <w:tc>
          <w:tcPr>
            <w:tcW w:type="dxa" w:w="1234"/>
          </w:tcPr>
          <w:p>
            <w:r>
              <w:rPr>
                <w:rFonts w:ascii="Calibri" w:hAnsi="Calibri"/>
                <w:sz w:val="22"/>
              </w:rPr>
              <w:t>Low single-digit growth (FY)</w:t>
            </w:r>
          </w:p>
        </w:tc>
        <w:tc>
          <w:tcPr>
            <w:tcW w:type="dxa" w:w="1234"/>
          </w:tcPr>
          <w:p>
            <w:r>
              <w:rPr>
                <w:rFonts w:ascii="Calibri" w:hAnsi="Calibri"/>
                <w:sz w:val="22"/>
              </w:rPr>
              <w:t>FY consensus $11.22 — above low-single-digit guidance midpoint</w:t>
            </w:r>
          </w:p>
        </w:tc>
      </w:tr>
    </w:tbl>
    <w:p>
      <w:r>
        <w:rPr>
          <w:rFonts w:ascii="Calibri" w:hAnsi="Calibri"/>
          <w:i/>
          <w:color w:val="525866"/>
          <w:sz w:val="22"/>
        </w:rPr>
        <w:t>Sources: Visible Alpha Consensus and Actuals Data; VMC Q1 2026 Earnings Release (April 29, 2026). Q2 2026 consensus estimates as of July 28, 2026. Note: Q2 2026 Adjusted EBITDA consensus of $646M reflects a year-over-year decline vs. Q2 2025 actual of $660M, consistent with management's guidance that Q2 bears the most acute diesel cost headwind (~$25M drag) before pricing actions flow through in H2. FY 2026 consensus EBITDA of $2,459M sits slightly below the $2,500M guidance midpoint, suggesting the street is modeling toward the lower half of the $2.4–$2.6B range.</w:t>
      </w:r>
    </w:p>
    <w:p>
      <w:pPr>
        <w:pStyle w:val="Heading3"/>
      </w:pPr>
      <w:r>
        <w:rPr>
          <w:rFonts w:ascii="Calibri" w:hAnsi="Calibri"/>
          <w:b/>
          <w:color w:val="3B4259"/>
          <w:sz w:val="24"/>
        </w:rPr>
        <w:t>Table 2 — Beat/Miss History (Last 8 Quarters)</w:t>
      </w:r>
    </w:p>
    <w:p>
      <w:r>
        <w:rPr>
          <w:rFonts w:ascii="Calibri" w:hAnsi="Calibri"/>
          <w:b/>
          <w:color w:val="525866"/>
          <w:sz w:val="22"/>
        </w:rPr>
        <w:t>Top 2 KPIs: Adjusted EBITDA and Aggregates Cash Gross Profit per Ton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EBITDA ($M)</w:t>
            </w:r>
          </w:p>
        </w:tc>
        <w:tc>
          <w:tcPr>
            <w:tcW w:type="dxa" w:w="1440"/>
          </w:tcPr>
          <w:p>
            <w:r>
              <w:rPr>
                <w:rFonts w:ascii="Calibri" w:hAnsi="Calibri"/>
                <w:sz w:val="22"/>
              </w:rPr>
              <w:t>$447M</w:t>
            </w:r>
          </w:p>
        </w:tc>
        <w:tc>
          <w:tcPr>
            <w:tcW w:type="dxa" w:w="1440"/>
          </w:tcPr>
          <w:p>
            <w:r>
              <w:rPr>
                <w:rFonts w:ascii="Calibri" w:hAnsi="Calibri"/>
                <w:sz w:val="22"/>
              </w:rPr>
              <w:t>$422M</w:t>
            </w:r>
          </w:p>
        </w:tc>
        <w:tc>
          <w:tcPr>
            <w:tcW w:type="dxa" w:w="1440"/>
          </w:tcPr>
          <w:p>
            <w:r>
              <w:rPr>
                <w:rFonts w:ascii="Calibri" w:hAnsi="Calibri"/>
                <w:b/>
                <w:color w:val="30A46C"/>
                <w:sz w:val="22"/>
              </w:rPr>
              <w:t>+5.9%</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Agg. Cash GP/Ton ($)</w:t>
            </w:r>
          </w:p>
        </w:tc>
        <w:tc>
          <w:tcPr>
            <w:tcW w:type="dxa" w:w="1440"/>
          </w:tcPr>
          <w:p>
            <w:r>
              <w:rPr>
                <w:rFonts w:ascii="Calibri" w:hAnsi="Calibri"/>
                <w:sz w:val="22"/>
              </w:rPr>
              <w:t>$10.93</w:t>
            </w:r>
          </w:p>
        </w:tc>
        <w:tc>
          <w:tcPr>
            <w:tcW w:type="dxa" w:w="1440"/>
          </w:tcPr>
          <w:p>
            <w:r>
              <w:rPr>
                <w:rFonts w:ascii="Calibri" w:hAnsi="Calibri"/>
                <w:sz w:val="22"/>
              </w:rPr>
              <w:t>$10.91</w:t>
            </w:r>
          </w:p>
        </w:tc>
        <w:tc>
          <w:tcPr>
            <w:tcW w:type="dxa" w:w="1440"/>
          </w:tcPr>
          <w:p>
            <w:r>
              <w:rPr>
                <w:rFonts w:ascii="Calibri" w:hAnsi="Calibri"/>
                <w:sz w:val="22"/>
              </w:rPr>
              <w:t>+0.2%</w:t>
            </w:r>
          </w:p>
        </w:tc>
        <w:tc>
          <w:tcPr>
            <w:tcW w:type="dxa" w:w="1440"/>
          </w:tcPr>
          <w:p>
            <w:r>
              <w:rPr>
                <w:rFonts w:ascii="Calibri" w:hAnsi="Calibri"/>
                <w:sz w:val="22"/>
              </w:rPr>
              <w:t>In Line</w:t>
            </w:r>
          </w:p>
        </w:tc>
      </w:tr>
      <w:tr>
        <w:tc>
          <w:tcPr>
            <w:tcW w:type="dxa" w:w="1440"/>
          </w:tcPr>
          <w:p>
            <w:r>
              <w:rPr>
                <w:rFonts w:ascii="Calibri" w:hAnsi="Calibri"/>
                <w:sz w:val="22"/>
              </w:rPr>
              <w:t>Q4 2025</w:t>
            </w:r>
          </w:p>
        </w:tc>
        <w:tc>
          <w:tcPr>
            <w:tcW w:type="dxa" w:w="1440"/>
          </w:tcPr>
          <w:p>
            <w:r>
              <w:rPr>
                <w:rFonts w:ascii="Calibri" w:hAnsi="Calibri"/>
                <w:sz w:val="22"/>
              </w:rPr>
              <w:t>Adj. EBITDA ($M)</w:t>
            </w:r>
          </w:p>
        </w:tc>
        <w:tc>
          <w:tcPr>
            <w:tcW w:type="dxa" w:w="1440"/>
          </w:tcPr>
          <w:p>
            <w:r>
              <w:rPr>
                <w:rFonts w:ascii="Calibri" w:hAnsi="Calibri"/>
                <w:sz w:val="22"/>
              </w:rPr>
              <w:t>$518M</w:t>
            </w:r>
          </w:p>
        </w:tc>
        <w:tc>
          <w:tcPr>
            <w:tcW w:type="dxa" w:w="1440"/>
          </w:tcPr>
          <w:p>
            <w:r>
              <w:rPr>
                <w:rFonts w:ascii="Calibri" w:hAnsi="Calibri"/>
                <w:sz w:val="22"/>
              </w:rPr>
              <w:t>$602M</w:t>
            </w:r>
          </w:p>
        </w:tc>
        <w:tc>
          <w:tcPr>
            <w:tcW w:type="dxa" w:w="1440"/>
          </w:tcPr>
          <w:p>
            <w:r>
              <w:rPr>
                <w:rFonts w:ascii="Calibri" w:hAnsi="Calibri"/>
                <w:b/>
                <w:color w:val="E5484D"/>
                <w:sz w:val="22"/>
              </w:rPr>
              <w:t>-14.0%</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Agg. Cash GP/Ton ($)</w:t>
            </w:r>
          </w:p>
        </w:tc>
        <w:tc>
          <w:tcPr>
            <w:tcW w:type="dxa" w:w="1440"/>
          </w:tcPr>
          <w:p>
            <w:r>
              <w:rPr>
                <w:rFonts w:ascii="Calibri" w:hAnsi="Calibri"/>
                <w:sz w:val="22"/>
              </w:rPr>
              <w:t>$10.73</w:t>
            </w:r>
          </w:p>
        </w:tc>
        <w:tc>
          <w:tcPr>
            <w:tcW w:type="dxa" w:w="1440"/>
          </w:tcPr>
          <w:p>
            <w:r>
              <w:rPr>
                <w:rFonts w:ascii="Calibri" w:hAnsi="Calibri"/>
                <w:sz w:val="22"/>
              </w:rPr>
              <w:t>$11.98</w:t>
            </w:r>
          </w:p>
        </w:tc>
        <w:tc>
          <w:tcPr>
            <w:tcW w:type="dxa" w:w="1440"/>
          </w:tcPr>
          <w:p>
            <w:r>
              <w:rPr>
                <w:rFonts w:ascii="Calibri" w:hAnsi="Calibri"/>
                <w:b/>
                <w:color w:val="E5484D"/>
                <w:sz w:val="22"/>
              </w:rPr>
              <w:t>-10.4%</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EBITDA ($M)</w:t>
            </w:r>
          </w:p>
        </w:tc>
        <w:tc>
          <w:tcPr>
            <w:tcW w:type="dxa" w:w="1440"/>
          </w:tcPr>
          <w:p>
            <w:r>
              <w:rPr>
                <w:rFonts w:ascii="Calibri" w:hAnsi="Calibri"/>
                <w:sz w:val="22"/>
              </w:rPr>
              <w:t>$735M</w:t>
            </w:r>
          </w:p>
        </w:tc>
        <w:tc>
          <w:tcPr>
            <w:tcW w:type="dxa" w:w="1440"/>
          </w:tcPr>
          <w:p>
            <w:r>
              <w:rPr>
                <w:rFonts w:ascii="Calibri" w:hAnsi="Calibri"/>
                <w:sz w:val="22"/>
              </w:rPr>
              <w:t>$717M</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Agg. Cash GP/Ton ($)</w:t>
            </w:r>
          </w:p>
        </w:tc>
        <w:tc>
          <w:tcPr>
            <w:tcW w:type="dxa" w:w="1440"/>
          </w:tcPr>
          <w:p>
            <w:r>
              <w:rPr>
                <w:rFonts w:ascii="Calibri" w:hAnsi="Calibri"/>
                <w:sz w:val="22"/>
              </w:rPr>
              <w:t>$11.83</w:t>
            </w:r>
          </w:p>
        </w:tc>
        <w:tc>
          <w:tcPr>
            <w:tcW w:type="dxa" w:w="1440"/>
          </w:tcPr>
          <w:p>
            <w:r>
              <w:rPr>
                <w:rFonts w:ascii="Calibri" w:hAnsi="Calibri"/>
                <w:sz w:val="22"/>
              </w:rPr>
              <w:t>$11.96</w:t>
            </w:r>
          </w:p>
        </w:tc>
        <w:tc>
          <w:tcPr>
            <w:tcW w:type="dxa" w:w="1440"/>
          </w:tcPr>
          <w:p>
            <w:r>
              <w:rPr>
                <w:rFonts w:ascii="Calibri" w:hAnsi="Calibri"/>
                <w:sz w:val="22"/>
              </w:rPr>
              <w:t>-1.1%</w:t>
            </w:r>
          </w:p>
        </w:tc>
        <w:tc>
          <w:tcPr>
            <w:tcW w:type="dxa" w:w="1440"/>
          </w:tcPr>
          <w:p>
            <w:r>
              <w:rPr>
                <w:rFonts w:ascii="Calibri" w:hAnsi="Calibri"/>
                <w:sz w:val="22"/>
              </w:rPr>
              <w:t>In Line</w:t>
            </w:r>
          </w:p>
        </w:tc>
      </w:tr>
      <w:tr>
        <w:tc>
          <w:tcPr>
            <w:tcW w:type="dxa" w:w="1440"/>
          </w:tcPr>
          <w:p>
            <w:r>
              <w:rPr>
                <w:rFonts w:ascii="Calibri" w:hAnsi="Calibri"/>
                <w:sz w:val="22"/>
              </w:rPr>
              <w:t>Q2 2025</w:t>
            </w:r>
          </w:p>
        </w:tc>
        <w:tc>
          <w:tcPr>
            <w:tcW w:type="dxa" w:w="1440"/>
          </w:tcPr>
          <w:p>
            <w:r>
              <w:rPr>
                <w:rFonts w:ascii="Calibri" w:hAnsi="Calibri"/>
                <w:sz w:val="22"/>
              </w:rPr>
              <w:t>Adj. EBITDA ($M)</w:t>
            </w:r>
          </w:p>
        </w:tc>
        <w:tc>
          <w:tcPr>
            <w:tcW w:type="dxa" w:w="1440"/>
          </w:tcPr>
          <w:p>
            <w:r>
              <w:rPr>
                <w:rFonts w:ascii="Calibri" w:hAnsi="Calibri"/>
                <w:sz w:val="22"/>
              </w:rPr>
              <w:t>$660M</w:t>
            </w:r>
          </w:p>
        </w:tc>
        <w:tc>
          <w:tcPr>
            <w:tcW w:type="dxa" w:w="1440"/>
          </w:tcPr>
          <w:p>
            <w:r>
              <w:rPr>
                <w:rFonts w:ascii="Calibri" w:hAnsi="Calibri"/>
                <w:sz w:val="22"/>
              </w:rPr>
              <w:t>$697M</w:t>
            </w:r>
          </w:p>
        </w:tc>
        <w:tc>
          <w:tcPr>
            <w:tcW w:type="dxa" w:w="1440"/>
          </w:tcPr>
          <w:p>
            <w:r>
              <w:rPr>
                <w:rFonts w:ascii="Calibri" w:hAnsi="Calibri"/>
                <w:b/>
                <w:color w:val="E5484D"/>
                <w:sz w:val="22"/>
              </w:rPr>
              <w:t>-5.3%</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Agg. Cash GP/Ton ($)</w:t>
            </w:r>
          </w:p>
        </w:tc>
        <w:tc>
          <w:tcPr>
            <w:tcW w:type="dxa" w:w="1440"/>
          </w:tcPr>
          <w:p>
            <w:r>
              <w:rPr>
                <w:rFonts w:ascii="Calibri" w:hAnsi="Calibri"/>
                <w:sz w:val="22"/>
              </w:rPr>
              <w:t>$11.87</w:t>
            </w:r>
          </w:p>
        </w:tc>
        <w:tc>
          <w:tcPr>
            <w:tcW w:type="dxa" w:w="1440"/>
          </w:tcPr>
          <w:p>
            <w:r>
              <w:rPr>
                <w:rFonts w:ascii="Calibri" w:hAnsi="Calibri"/>
                <w:sz w:val="22"/>
              </w:rPr>
              <w:t>$12.01</w:t>
            </w:r>
          </w:p>
        </w:tc>
        <w:tc>
          <w:tcPr>
            <w:tcW w:type="dxa" w:w="1440"/>
          </w:tcPr>
          <w:p>
            <w:r>
              <w:rPr>
                <w:rFonts w:ascii="Calibri" w:hAnsi="Calibri"/>
                <w:sz w:val="22"/>
              </w:rPr>
              <w:t>-1.2%</w:t>
            </w:r>
          </w:p>
        </w:tc>
        <w:tc>
          <w:tcPr>
            <w:tcW w:type="dxa" w:w="1440"/>
          </w:tcPr>
          <w:p>
            <w:r>
              <w:rPr>
                <w:rFonts w:ascii="Calibri" w:hAnsi="Calibri"/>
                <w:sz w:val="22"/>
              </w:rPr>
              <w:t>In Line</w:t>
            </w:r>
          </w:p>
        </w:tc>
      </w:tr>
      <w:tr>
        <w:tc>
          <w:tcPr>
            <w:tcW w:type="dxa" w:w="1440"/>
          </w:tcPr>
          <w:p>
            <w:r>
              <w:rPr>
                <w:rFonts w:ascii="Calibri" w:hAnsi="Calibri"/>
                <w:sz w:val="22"/>
              </w:rPr>
              <w:t>Q1 2025</w:t>
            </w:r>
          </w:p>
        </w:tc>
        <w:tc>
          <w:tcPr>
            <w:tcW w:type="dxa" w:w="1440"/>
          </w:tcPr>
          <w:p>
            <w:r>
              <w:rPr>
                <w:rFonts w:ascii="Calibri" w:hAnsi="Calibri"/>
                <w:sz w:val="22"/>
              </w:rPr>
              <w:t>Adj. EBITDA ($M)</w:t>
            </w:r>
          </w:p>
        </w:tc>
        <w:tc>
          <w:tcPr>
            <w:tcW w:type="dxa" w:w="1440"/>
          </w:tcPr>
          <w:p>
            <w:r>
              <w:rPr>
                <w:rFonts w:ascii="Calibri" w:hAnsi="Calibri"/>
                <w:sz w:val="22"/>
              </w:rPr>
              <w:t>$411M</w:t>
            </w:r>
          </w:p>
        </w:tc>
        <w:tc>
          <w:tcPr>
            <w:tcW w:type="dxa" w:w="1440"/>
          </w:tcPr>
          <w:p>
            <w:r>
              <w:rPr>
                <w:rFonts w:ascii="Calibri" w:hAnsi="Calibri"/>
                <w:sz w:val="22"/>
              </w:rPr>
              <w:t>$380M</w:t>
            </w:r>
          </w:p>
        </w:tc>
        <w:tc>
          <w:tcPr>
            <w:tcW w:type="dxa" w:w="1440"/>
          </w:tcPr>
          <w:p>
            <w:r>
              <w:rPr>
                <w:rFonts w:ascii="Calibri" w:hAnsi="Calibri"/>
                <w:b/>
                <w:color w:val="30A46C"/>
                <w:sz w:val="22"/>
              </w:rPr>
              <w:t>+8.1%</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Agg. Cash GP/Ton ($)</w:t>
            </w:r>
          </w:p>
        </w:tc>
        <w:tc>
          <w:tcPr>
            <w:tcW w:type="dxa" w:w="1440"/>
          </w:tcPr>
          <w:p>
            <w:r>
              <w:rPr>
                <w:rFonts w:ascii="Calibri" w:hAnsi="Calibri"/>
                <w:sz w:val="22"/>
              </w:rPr>
              <w:t>$10.63</w:t>
            </w:r>
          </w:p>
        </w:tc>
        <w:tc>
          <w:tcPr>
            <w:tcW w:type="dxa" w:w="1440"/>
          </w:tcPr>
          <w:p>
            <w:r>
              <w:rPr>
                <w:rFonts w:ascii="Calibri" w:hAnsi="Calibri"/>
                <w:sz w:val="22"/>
              </w:rPr>
              <w:t>$9.99</w:t>
            </w:r>
          </w:p>
        </w:tc>
        <w:tc>
          <w:tcPr>
            <w:tcW w:type="dxa" w:w="1440"/>
          </w:tcPr>
          <w:p>
            <w:r>
              <w:rPr>
                <w:rFonts w:ascii="Calibri" w:hAnsi="Calibri"/>
                <w:b/>
                <w:color w:val="30A46C"/>
                <w:sz w:val="22"/>
              </w:rPr>
              <w:t>+6.4%</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EBITDA ($M)</w:t>
            </w:r>
          </w:p>
        </w:tc>
        <w:tc>
          <w:tcPr>
            <w:tcW w:type="dxa" w:w="1440"/>
          </w:tcPr>
          <w:p>
            <w:r>
              <w:rPr>
                <w:rFonts w:ascii="Calibri" w:hAnsi="Calibri"/>
                <w:sz w:val="22"/>
              </w:rPr>
              <w:t>$550M</w:t>
            </w:r>
          </w:p>
        </w:tc>
        <w:tc>
          <w:tcPr>
            <w:tcW w:type="dxa" w:w="1440"/>
          </w:tcPr>
          <w:p>
            <w:r>
              <w:rPr>
                <w:rFonts w:ascii="Calibri" w:hAnsi="Calibri"/>
                <w:sz w:val="22"/>
              </w:rPr>
              <w:t>$495M</w:t>
            </w:r>
          </w:p>
        </w:tc>
        <w:tc>
          <w:tcPr>
            <w:tcW w:type="dxa" w:w="1440"/>
          </w:tcPr>
          <w:p>
            <w:r>
              <w:rPr>
                <w:rFonts w:ascii="Calibri" w:hAnsi="Calibri"/>
                <w:b/>
                <w:color w:val="30A46C"/>
                <w:sz w:val="22"/>
              </w:rPr>
              <w:t>+11.1%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Agg. Cash GP/Ton ($)</w:t>
            </w:r>
          </w:p>
        </w:tc>
        <w:tc>
          <w:tcPr>
            <w:tcW w:type="dxa" w:w="1440"/>
          </w:tcPr>
          <w:p>
            <w:r>
              <w:rPr>
                <w:rFonts w:ascii="Calibri" w:hAnsi="Calibri"/>
                <w:sz w:val="22"/>
              </w:rPr>
              <w:t>$11.50</w:t>
            </w:r>
          </w:p>
        </w:tc>
        <w:tc>
          <w:tcPr>
            <w:tcW w:type="dxa" w:w="1440"/>
          </w:tcPr>
          <w:p>
            <w:r>
              <w:rPr>
                <w:rFonts w:ascii="Calibri" w:hAnsi="Calibri"/>
                <w:sz w:val="22"/>
              </w:rPr>
              <w:t>$10.86</w:t>
            </w:r>
          </w:p>
        </w:tc>
        <w:tc>
          <w:tcPr>
            <w:tcW w:type="dxa" w:w="1440"/>
          </w:tcPr>
          <w:p>
            <w:r>
              <w:rPr>
                <w:rFonts w:ascii="Calibri" w:hAnsi="Calibri"/>
                <w:b/>
                <w:color w:val="30A46C"/>
                <w:sz w:val="22"/>
              </w:rPr>
              <w:t>+5.9%</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EBITDA ($M)</w:t>
            </w:r>
          </w:p>
        </w:tc>
        <w:tc>
          <w:tcPr>
            <w:tcW w:type="dxa" w:w="1440"/>
          </w:tcPr>
          <w:p>
            <w:r>
              <w:rPr>
                <w:rFonts w:ascii="Calibri" w:hAnsi="Calibri"/>
                <w:sz w:val="22"/>
              </w:rPr>
              <w:t>$581M</w:t>
            </w:r>
          </w:p>
        </w:tc>
        <w:tc>
          <w:tcPr>
            <w:tcW w:type="dxa" w:w="1440"/>
          </w:tcPr>
          <w:p>
            <w:r>
              <w:rPr>
                <w:rFonts w:ascii="Calibri" w:hAnsi="Calibri"/>
                <w:sz w:val="22"/>
              </w:rPr>
              <w:t>$594M</w:t>
            </w:r>
          </w:p>
        </w:tc>
        <w:tc>
          <w:tcPr>
            <w:tcW w:type="dxa" w:w="1440"/>
          </w:tcPr>
          <w:p>
            <w:r>
              <w:rPr>
                <w:rFonts w:ascii="Calibri" w:hAnsi="Calibri"/>
                <w:sz w:val="22"/>
              </w:rPr>
              <w:t>-2.2%</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Agg. Cash GP/Ton ($)</w:t>
            </w:r>
          </w:p>
        </w:tc>
        <w:tc>
          <w:tcPr>
            <w:tcW w:type="dxa" w:w="1440"/>
          </w:tcPr>
          <w:p>
            <w:r>
              <w:rPr>
                <w:rFonts w:ascii="Calibri" w:hAnsi="Calibri"/>
                <w:sz w:val="22"/>
              </w:rPr>
              <w:t>$10.90</w:t>
            </w:r>
          </w:p>
        </w:tc>
        <w:tc>
          <w:tcPr>
            <w:tcW w:type="dxa" w:w="1440"/>
          </w:tcPr>
          <w:p>
            <w:r>
              <w:rPr>
                <w:rFonts w:ascii="Calibri" w:hAnsi="Calibri"/>
                <w:sz w:val="22"/>
              </w:rPr>
              <w:t>$11.06</w:t>
            </w:r>
          </w:p>
        </w:tc>
        <w:tc>
          <w:tcPr>
            <w:tcW w:type="dxa" w:w="1440"/>
          </w:tcPr>
          <w:p>
            <w:r>
              <w:rPr>
                <w:rFonts w:ascii="Calibri" w:hAnsi="Calibri"/>
                <w:sz w:val="22"/>
              </w:rPr>
              <w:t>-1.5%</w:t>
            </w:r>
          </w:p>
        </w:tc>
        <w:tc>
          <w:tcPr>
            <w:tcW w:type="dxa" w:w="1440"/>
          </w:tcPr>
          <w:p>
            <w:r>
              <w:rPr>
                <w:rFonts w:ascii="Calibri" w:hAnsi="Calibri"/>
                <w:sz w:val="22"/>
              </w:rPr>
              <w:t>In Line</w:t>
            </w:r>
          </w:p>
        </w:tc>
      </w:tr>
      <w:tr>
        <w:tc>
          <w:tcPr>
            <w:tcW w:type="dxa" w:w="1440"/>
          </w:tcPr>
          <w:p>
            <w:r>
              <w:rPr>
                <w:rFonts w:ascii="Calibri" w:hAnsi="Calibri"/>
                <w:sz w:val="22"/>
              </w:rPr>
              <w:t>Q2 2024</w:t>
            </w:r>
          </w:p>
        </w:tc>
        <w:tc>
          <w:tcPr>
            <w:tcW w:type="dxa" w:w="1440"/>
          </w:tcPr>
          <w:p>
            <w:r>
              <w:rPr>
                <w:rFonts w:ascii="Calibri" w:hAnsi="Calibri"/>
                <w:sz w:val="22"/>
              </w:rPr>
              <w:t>Adj. EBITDA ($M)</w:t>
            </w:r>
          </w:p>
        </w:tc>
        <w:tc>
          <w:tcPr>
            <w:tcW w:type="dxa" w:w="1440"/>
          </w:tcPr>
          <w:p>
            <w:r>
              <w:rPr>
                <w:rFonts w:ascii="Calibri" w:hAnsi="Calibri"/>
                <w:sz w:val="22"/>
              </w:rPr>
              <w:t>$603M</w:t>
            </w:r>
          </w:p>
        </w:tc>
        <w:tc>
          <w:tcPr>
            <w:tcW w:type="dxa" w:w="1440"/>
          </w:tcPr>
          <w:p>
            <w:r>
              <w:rPr>
                <w:rFonts w:ascii="Calibri" w:hAnsi="Calibri"/>
                <w:sz w:val="22"/>
              </w:rPr>
              <w:t>$612M</w:t>
            </w:r>
          </w:p>
        </w:tc>
        <w:tc>
          <w:tcPr>
            <w:tcW w:type="dxa" w:w="1440"/>
          </w:tcPr>
          <w:p>
            <w:r>
              <w:rPr>
                <w:rFonts w:ascii="Calibri" w:hAnsi="Calibri"/>
                <w:sz w:val="22"/>
              </w:rPr>
              <w:t>-1.5%</w:t>
            </w:r>
          </w:p>
        </w:tc>
        <w:tc>
          <w:tcPr>
            <w:tcW w:type="dxa" w:w="1440"/>
          </w:tcPr>
          <w:p>
            <w:r>
              <w:rPr>
                <w:rFonts w:ascii="Calibri" w:hAnsi="Calibri"/>
                <w:sz w:val="22"/>
              </w:rPr>
              <w:t>In Line</w:t>
            </w:r>
          </w:p>
        </w:tc>
      </w:tr>
      <w:tr>
        <w:tc>
          <w:tcPr>
            <w:tcW w:type="dxa" w:w="1440"/>
          </w:tcPr>
          <w:p>
            <w:r>
              <w:rPr>
                <w:rFonts w:ascii="Calibri" w:hAnsi="Calibri"/>
                <w:sz w:val="22"/>
              </w:rPr>
              <w:t>Q2 2024</w:t>
            </w:r>
          </w:p>
        </w:tc>
        <w:tc>
          <w:tcPr>
            <w:tcW w:type="dxa" w:w="1440"/>
          </w:tcPr>
          <w:p>
            <w:r>
              <w:rPr>
                <w:rFonts w:ascii="Calibri" w:hAnsi="Calibri"/>
                <w:sz w:val="22"/>
              </w:rPr>
              <w:t>Agg. Cash GP/Ton ($)</w:t>
            </w:r>
          </w:p>
        </w:tc>
        <w:tc>
          <w:tcPr>
            <w:tcW w:type="dxa" w:w="1440"/>
          </w:tcPr>
          <w:p>
            <w:r>
              <w:rPr>
                <w:rFonts w:ascii="Calibri" w:hAnsi="Calibri"/>
                <w:sz w:val="22"/>
              </w:rPr>
              <w:t>$10.92</w:t>
            </w:r>
          </w:p>
        </w:tc>
        <w:tc>
          <w:tcPr>
            <w:tcW w:type="dxa" w:w="1440"/>
          </w:tcPr>
          <w:p>
            <w:r>
              <w:rPr>
                <w:rFonts w:ascii="Calibri" w:hAnsi="Calibri"/>
                <w:sz w:val="22"/>
              </w:rPr>
              <w:t>$11.02</w:t>
            </w:r>
          </w:p>
        </w:tc>
        <w:tc>
          <w:tcPr>
            <w:tcW w:type="dxa" w:w="1440"/>
          </w:tcPr>
          <w:p>
            <w:r>
              <w:rPr>
                <w:rFonts w:ascii="Calibri" w:hAnsi="Calibri"/>
                <w:sz w:val="22"/>
              </w:rPr>
              <w:t>-0.9%</w:t>
            </w:r>
          </w:p>
        </w:tc>
        <w:tc>
          <w:tcPr>
            <w:tcW w:type="dxa" w:w="1440"/>
          </w:tcPr>
          <w:p>
            <w:r>
              <w:rPr>
                <w:rFonts w:ascii="Calibri" w:hAnsi="Calibri"/>
                <w:sz w:val="22"/>
              </w:rPr>
              <w:t>In Line</w:t>
            </w:r>
          </w:p>
        </w:tc>
      </w:tr>
    </w:tbl>
    <w:p>
      <w:r>
        <w:rPr>
          <w:rFonts w:ascii="Calibri" w:hAnsi="Calibri"/>
          <w:b/>
          <w:color w:val="525866"/>
          <w:sz w:val="22"/>
        </w:rPr>
        <w:t xml:space="preserve">Pattern: </w:t>
      </w:r>
      <w:r>
        <w:rPr>
          <w:rFonts w:ascii="Calibri" w:hAnsi="Calibri"/>
          <w:i/>
          <w:color w:val="525866"/>
          <w:sz w:val="22"/>
        </w:rPr>
        <w:t>VMC has a mixed beat/miss record over the last 8 quarters — EBITDA beats tend to be large when they occur (Q1 2026: +5.9%, Q4 2024: +11.1%, Q1 2025: +8.1%), but misses have also been significant (Q4 2025: -14.0%, Q2 2025: -5.3%), reflecting the company's sensitivity to weather, volume mix, and cost timing. Cash Gross Profit per Ton has been more consistently in-line, with the notable exception of Q4 2025 (-10.4%), which drove the stock's sharp post-Q4 selloff. The Q1 2026 beat on EBITDA with in-line per-ton profitability is a healthier pattern heading into Q2.</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is unchanged at $2.4–$2.6B Adjusted EBITDA, but management's tone has evolved — the new variable is </w:t>
      </w:r>
    </w:p>
    <w:p>
      <w:r>
        <w:rPr>
          <w:rFonts w:ascii="Calibri" w:hAnsi="Calibri"/>
          <w:b/>
          <w:color w:val="525866"/>
          <w:sz w:val="22"/>
        </w:rPr>
        <w:t>diesel cost</w:t>
      </w:r>
      <w:r>
        <w:rPr>
          <w:rFonts w:ascii="Calibri" w:hAnsi="Calibri"/>
          <w:color w:val="525866"/>
          <w:sz w:val="22"/>
        </w:rPr>
        <w:t>, explicitly quantified as a ~$25M Q2 headwind, with mid-year price increases already announced across all markets as the commercial offset. No formal guidance revision has been issued since the Q1 2026 earnings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EBITDA</w:t>
            </w:r>
          </w:p>
        </w:tc>
        <w:tc>
          <w:tcPr>
            <w:tcW w:type="dxa" w:w="1728"/>
          </w:tcPr>
          <w:p>
            <w:r>
              <w:rPr>
                <w:rFonts w:ascii="Calibri" w:hAnsi="Calibri"/>
                <w:sz w:val="22"/>
              </w:rPr>
              <w:t>$2.4B – $2.6B ($2.5B midpoint)</w:t>
            </w:r>
          </w:p>
        </w:tc>
        <w:tc>
          <w:tcPr>
            <w:tcW w:type="dxa" w:w="1728"/>
          </w:tcPr>
          <w:p>
            <w:r>
              <w:rPr>
                <w:rFonts w:ascii="Calibri" w:hAnsi="Calibri"/>
                <w:sz w:val="22"/>
              </w:rPr>
              <w:t>—</w:t>
            </w:r>
          </w:p>
        </w:tc>
        <w:tc>
          <w:tcPr>
            <w:tcW w:type="dxa" w:w="1728"/>
          </w:tcPr>
          <w:p>
            <w:r>
              <w:rPr>
                <w:rFonts w:ascii="Calibri" w:hAnsi="Calibri"/>
                <w:sz w:val="22"/>
              </w:rPr>
              <w:t>$2,459M</w:t>
            </w:r>
          </w:p>
        </w:tc>
        <w:tc>
          <w:tcPr>
            <w:tcW w:type="dxa" w:w="1728"/>
          </w:tcPr>
          <w:p>
            <w:r>
              <w:rPr>
                <w:rFonts w:ascii="Calibri" w:hAnsi="Calibri"/>
                <w:sz w:val="22"/>
              </w:rPr>
              <w:t>Unchanged; reiterated with confidence despite diesel headwinds. Consensus sits slightly below midpoint, implying street models toward lower half of range.</w:t>
            </w:r>
          </w:p>
        </w:tc>
      </w:tr>
      <w:tr>
        <w:tc>
          <w:tcPr>
            <w:tcW w:type="dxa" w:w="1728"/>
          </w:tcPr>
          <w:p>
            <w:r>
              <w:rPr>
                <w:rFonts w:ascii="Calibri" w:hAnsi="Calibri"/>
                <w:sz w:val="22"/>
              </w:rPr>
              <w:t>FY 2026 Aggregates Volume Growth</w:t>
            </w:r>
          </w:p>
        </w:tc>
        <w:tc>
          <w:tcPr>
            <w:tcW w:type="dxa" w:w="1728"/>
          </w:tcPr>
          <w:p>
            <w:r>
              <w:rPr>
                <w:rFonts w:ascii="Calibri" w:hAnsi="Calibri"/>
                <w:sz w:val="22"/>
              </w:rPr>
              <w:t>Low single-digit growth YoY (organic)</w:t>
            </w:r>
          </w:p>
        </w:tc>
        <w:tc>
          <w:tcPr>
            <w:tcW w:type="dxa" w:w="1728"/>
          </w:tcPr>
          <w:p>
            <w:r>
              <w:rPr>
                <w:rFonts w:ascii="Calibri" w:hAnsi="Calibri"/>
                <w:sz w:val="22"/>
              </w:rPr>
              <w:t>—</w:t>
            </w:r>
          </w:p>
        </w:tc>
        <w:tc>
          <w:tcPr>
            <w:tcW w:type="dxa" w:w="1728"/>
          </w:tcPr>
          <w:p>
            <w:r>
              <w:rPr>
                <w:rFonts w:ascii="Calibri" w:hAnsi="Calibri"/>
                <w:sz w:val="22"/>
              </w:rPr>
              <w:t>231.3M tons FY (+1.5% YoY)</w:t>
            </w:r>
          </w:p>
        </w:tc>
        <w:tc>
          <w:tcPr>
            <w:tcW w:type="dxa" w:w="1728"/>
          </w:tcPr>
          <w:p>
            <w:r>
              <w:rPr>
                <w:rFonts w:ascii="Calibri" w:hAnsi="Calibri"/>
                <w:sz w:val="22"/>
              </w:rPr>
              <w:t>Unchanged; consensus in line with low-single-digit guidance. Public infrastructure and data center demand cited as primary drivers.</w:t>
            </w:r>
          </w:p>
        </w:tc>
      </w:tr>
      <w:tr>
        <w:tc>
          <w:tcPr>
            <w:tcW w:type="dxa" w:w="1728"/>
          </w:tcPr>
          <w:p>
            <w:r>
              <w:rPr>
                <w:rFonts w:ascii="Calibri" w:hAnsi="Calibri"/>
                <w:sz w:val="22"/>
              </w:rPr>
              <w:t>FY 2026 Aggregates Pricing Growth</w:t>
            </w:r>
          </w:p>
        </w:tc>
        <w:tc>
          <w:tcPr>
            <w:tcW w:type="dxa" w:w="1728"/>
          </w:tcPr>
          <w:p>
            <w:r>
              <w:rPr>
                <w:rFonts w:ascii="Calibri" w:hAnsi="Calibri"/>
                <w:sz w:val="22"/>
              </w:rPr>
              <w:t>Mid-single-digit growth (mix-adjusted); back-half weighted</w:t>
            </w:r>
          </w:p>
        </w:tc>
        <w:tc>
          <w:tcPr>
            <w:tcW w:type="dxa" w:w="1728"/>
          </w:tcPr>
          <w:p>
            <w:r>
              <w:rPr>
                <w:rFonts w:ascii="Calibri" w:hAnsi="Calibri"/>
                <w:sz w:val="22"/>
              </w:rPr>
              <w:t>—</w:t>
            </w:r>
          </w:p>
        </w:tc>
        <w:tc>
          <w:tcPr>
            <w:tcW w:type="dxa" w:w="1728"/>
          </w:tcPr>
          <w:p>
            <w:r>
              <w:rPr>
                <w:rFonts w:ascii="Calibri" w:hAnsi="Calibri"/>
                <w:sz w:val="22"/>
              </w:rPr>
              <w:t>$23.10/ton FY (+4.1% YoY)</w:t>
            </w:r>
          </w:p>
        </w:tc>
        <w:tc>
          <w:tcPr>
            <w:tcW w:type="dxa" w:w="1728"/>
          </w:tcPr>
          <w:p>
            <w:r>
              <w:rPr>
                <w:rFonts w:ascii="Calibri" w:hAnsi="Calibri"/>
                <w:sz w:val="22"/>
              </w:rPr>
              <w:t>Unchanged; mid-year price increases announced across all markets several weeks ahead of last year. Management expects to exit year at higher end of range.</w:t>
            </w:r>
          </w:p>
        </w:tc>
      </w:tr>
      <w:tr>
        <w:tc>
          <w:tcPr>
            <w:tcW w:type="dxa" w:w="1728"/>
          </w:tcPr>
          <w:p>
            <w:r>
              <w:rPr>
                <w:rFonts w:ascii="Calibri" w:hAnsi="Calibri"/>
                <w:sz w:val="22"/>
              </w:rPr>
              <w:t>FY 2026 Unit Cash Cost Growth (Aggregates)</w:t>
            </w:r>
          </w:p>
        </w:tc>
        <w:tc>
          <w:tcPr>
            <w:tcW w:type="dxa" w:w="1728"/>
          </w:tcPr>
          <w:p>
            <w:r>
              <w:rPr>
                <w:rFonts w:ascii="Calibri" w:hAnsi="Calibri"/>
                <w:sz w:val="22"/>
              </w:rPr>
              <w:t>Low single-digit growth (FY); Q2 high single-digit YoY due to diesel</w:t>
            </w:r>
          </w:p>
        </w:tc>
        <w:tc>
          <w:tcPr>
            <w:tcW w:type="dxa" w:w="1728"/>
          </w:tcPr>
          <w:p>
            <w:r>
              <w:rPr>
                <w:rFonts w:ascii="Calibri" w:hAnsi="Calibri"/>
                <w:sz w:val="22"/>
              </w:rPr>
              <w:t>—</w:t>
            </w:r>
          </w:p>
        </w:tc>
        <w:tc>
          <w:tcPr>
            <w:tcW w:type="dxa" w:w="1728"/>
          </w:tcPr>
          <w:p>
            <w:r>
              <w:rPr>
                <w:rFonts w:ascii="Calibri" w:hAnsi="Calibri"/>
                <w:sz w:val="22"/>
              </w:rPr>
              <w:t>$11.22/ton FY</w:t>
            </w:r>
          </w:p>
        </w:tc>
        <w:tc>
          <w:tcPr>
            <w:tcW w:type="dxa" w:w="1728"/>
          </w:tcPr>
          <w:p>
            <w:r>
              <w:rPr>
                <w:rFonts w:ascii="Calibri" w:hAnsi="Calibri"/>
                <w:sz w:val="22"/>
              </w:rPr>
              <w:t>Q2 diesel drag ~$25M explicitly flagged; management guiding costs higher in H1, lower in H2. Full-year guidance assumes diesel remains elevated (not assuming price decline).</w:t>
            </w:r>
          </w:p>
        </w:tc>
      </w:tr>
      <w:tr>
        <w:tc>
          <w:tcPr>
            <w:tcW w:type="dxa" w:w="1728"/>
          </w:tcPr>
          <w:p>
            <w:r>
              <w:rPr>
                <w:rFonts w:ascii="Calibri" w:hAnsi="Calibri"/>
                <w:sz w:val="22"/>
              </w:rPr>
              <w:t>Q2 2026 Diesel Headwind</w:t>
            </w:r>
          </w:p>
        </w:tc>
        <w:tc>
          <w:tcPr>
            <w:tcW w:type="dxa" w:w="1728"/>
          </w:tcPr>
          <w:p>
            <w:r>
              <w:rPr>
                <w:rFonts w:ascii="Calibri" w:hAnsi="Calibri"/>
                <w:sz w:val="22"/>
              </w:rPr>
              <w:t>~$25M incremental drag in Q2 (most acute quarter)</w:t>
            </w:r>
          </w:p>
        </w:tc>
        <w:tc>
          <w:tcPr>
            <w:tcW w:type="dxa" w:w="1728"/>
          </w:tcPr>
          <w:p>
            <w:r>
              <w:rPr>
                <w:rFonts w:ascii="Calibri" w:hAnsi="Calibri"/>
                <w:sz w:val="22"/>
              </w:rPr>
              <w:t>—</w:t>
            </w:r>
          </w:p>
        </w:tc>
        <w:tc>
          <w:tcPr>
            <w:tcW w:type="dxa" w:w="1728"/>
          </w:tcPr>
          <w:p>
            <w:r>
              <w:rPr>
                <w:rFonts w:ascii="Calibri" w:hAnsi="Calibri"/>
                <w:sz w:val="22"/>
              </w:rPr>
              <w:t>Embedded in consensus</w:t>
            </w:r>
          </w:p>
        </w:tc>
        <w:tc>
          <w:tcPr>
            <w:tcW w:type="dxa" w:w="1728"/>
          </w:tcPr>
          <w:p>
            <w:r>
              <w:rPr>
                <w:rFonts w:ascii="Calibri" w:hAnsi="Calibri"/>
                <w:sz w:val="22"/>
              </w:rPr>
              <w:t>New disclosure on Q1 call; management framed as manageable via VWO efficiencies, surcharges, and mid-year price increases. Margin impact expected to moderate in H2.</w:t>
            </w:r>
          </w:p>
        </w:tc>
      </w:tr>
      <w:tr>
        <w:tc>
          <w:tcPr>
            <w:tcW w:type="dxa" w:w="1728"/>
          </w:tcPr>
          <w:p>
            <w:r>
              <w:rPr>
                <w:rFonts w:ascii="Calibri" w:hAnsi="Calibri"/>
                <w:sz w:val="22"/>
              </w:rPr>
              <w:t>California Ready-Mix Divestiture</w:t>
            </w:r>
          </w:p>
        </w:tc>
        <w:tc>
          <w:tcPr>
            <w:tcW w:type="dxa" w:w="1728"/>
          </w:tcPr>
          <w:p>
            <w:r>
              <w:rPr>
                <w:rFonts w:ascii="Calibri" w:hAnsi="Calibri"/>
                <w:sz w:val="22"/>
              </w:rPr>
              <w:t>Expected to close Q2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Contributed ~$10M cash gross profit in Q1; divestiture proceeds to be redeployed into aggregates growth. Removes downstream earnings contribution from Q2 onward.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broadly stable since the Q1 2026 print — Q2 EBITDA consensus ticked up modestly from the post-earnings baseline, while FY 2026 EBITDA consensus is essentially flat, suggesting the street absorbed the diesel headwind disclosure without materially cutting numbers. The gap between FY consensus ($2,459M) and guidance midpoint ($2,500M) is a modest cushion, not a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EBITDA — Q2 2026</w:t>
            </w:r>
          </w:p>
        </w:tc>
        <w:tc>
          <w:tcPr>
            <w:tcW w:type="dxa" w:w="1080"/>
          </w:tcPr>
          <w:p>
            <w:r>
              <w:rPr>
                <w:rFonts w:ascii="Calibri" w:hAnsi="Calibri"/>
                <w:sz w:val="22"/>
              </w:rPr>
              <w:t>$672M</w:t>
            </w:r>
          </w:p>
        </w:tc>
        <w:tc>
          <w:tcPr>
            <w:tcW w:type="dxa" w:w="1080"/>
          </w:tcPr>
          <w:p>
            <w:r>
              <w:rPr>
                <w:rFonts w:ascii="Calibri" w:hAnsi="Calibri"/>
                <w:sz w:val="22"/>
              </w:rPr>
              <w:t>$646M</w:t>
            </w:r>
          </w:p>
        </w:tc>
        <w:tc>
          <w:tcPr>
            <w:tcW w:type="dxa" w:w="1080"/>
          </w:tcPr>
          <w:p>
            <w:r>
              <w:rPr>
                <w:rFonts w:ascii="Calibri" w:hAnsi="Calibri"/>
                <w:b/>
                <w:color w:val="E5484D"/>
                <w:sz w:val="22"/>
              </w:rPr>
              <w:t>-3.9%</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 2026</w:t>
            </w:r>
          </w:p>
        </w:tc>
        <w:tc>
          <w:tcPr>
            <w:tcW w:type="dxa" w:w="1080"/>
          </w:tcPr>
          <w:p>
            <w:r>
              <w:rPr>
                <w:rFonts w:ascii="Calibri" w:hAnsi="Calibri"/>
                <w:sz w:val="22"/>
              </w:rPr>
              <w:t>$2,481M</w:t>
            </w:r>
          </w:p>
        </w:tc>
        <w:tc>
          <w:tcPr>
            <w:tcW w:type="dxa" w:w="1080"/>
          </w:tcPr>
          <w:p>
            <w:r>
              <w:rPr>
                <w:rFonts w:ascii="Calibri" w:hAnsi="Calibri"/>
                <w:sz w:val="22"/>
              </w:rPr>
              <w:t>$2,459M</w:t>
            </w:r>
          </w:p>
        </w:tc>
        <w:tc>
          <w:tcPr>
            <w:tcW w:type="dxa" w:w="1080"/>
          </w:tcPr>
          <w:p>
            <w:r>
              <w:rPr>
                <w:rFonts w:ascii="Calibri" w:hAnsi="Calibri"/>
                <w:sz w:val="22"/>
              </w:rPr>
              <w:t>-0.9%</w:t>
            </w:r>
          </w:p>
        </w:tc>
        <w:tc>
          <w:tcPr>
            <w:tcW w:type="dxa" w:w="1080"/>
          </w:tcPr>
          <w:p>
            <w:r>
              <w:rPr>
                <w:rFonts w:ascii="Calibri" w:hAnsi="Calibri"/>
                <w:sz w:val="22"/>
              </w:rPr>
              <w:t>$2,400–$2,600M</w:t>
            </w:r>
          </w:p>
        </w:tc>
        <w:tc>
          <w:tcPr>
            <w:tcW w:type="dxa" w:w="1080"/>
          </w:tcPr>
          <w:p>
            <w:r>
              <w:rPr>
                <w:rFonts w:ascii="Calibri" w:hAnsi="Calibri"/>
                <w:sz w:val="22"/>
              </w:rPr>
              <w:t>$2,400–$2,600M (unchanged)</w:t>
            </w:r>
          </w:p>
        </w:tc>
        <w:tc>
          <w:tcPr>
            <w:tcW w:type="dxa" w:w="1080"/>
          </w:tcPr>
          <w:p>
            <w:r>
              <w:rPr>
                <w:rFonts w:ascii="Calibri" w:hAnsi="Calibri"/>
                <w:sz w:val="22"/>
              </w:rPr>
              <w:t>0%</w:t>
            </w:r>
          </w:p>
        </w:tc>
        <w:tc>
          <w:tcPr>
            <w:tcW w:type="dxa" w:w="1080"/>
          </w:tcPr>
          <w:p>
            <w:r>
              <w:rPr>
                <w:rFonts w:ascii="Calibri" w:hAnsi="Calibri"/>
                <w:sz w:val="22"/>
              </w:rPr>
              <w:t>-1.6% vs. $2,500M mid</w:t>
            </w:r>
          </w:p>
        </w:tc>
      </w:tr>
      <w:tr>
        <w:tc>
          <w:tcPr>
            <w:tcW w:type="dxa" w:w="1080"/>
          </w:tcPr>
          <w:p>
            <w:r>
              <w:rPr>
                <w:rFonts w:ascii="Calibri" w:hAnsi="Calibri"/>
                <w:sz w:val="22"/>
              </w:rPr>
              <w:t>Adj. EPS (Diluted, Cont. Ops) — Q2 2026</w:t>
            </w:r>
          </w:p>
        </w:tc>
        <w:tc>
          <w:tcPr>
            <w:tcW w:type="dxa" w:w="1080"/>
          </w:tcPr>
          <w:p>
            <w:r>
              <w:rPr>
                <w:rFonts w:ascii="Calibri" w:hAnsi="Calibri"/>
                <w:sz w:val="22"/>
              </w:rPr>
              <w:t>$2.62</w:t>
            </w:r>
          </w:p>
        </w:tc>
        <w:tc>
          <w:tcPr>
            <w:tcW w:type="dxa" w:w="1080"/>
          </w:tcPr>
          <w:p>
            <w:r>
              <w:rPr>
                <w:rFonts w:ascii="Calibri" w:hAnsi="Calibri"/>
                <w:sz w:val="22"/>
              </w:rPr>
              <w:t>$2.46</w:t>
            </w:r>
          </w:p>
        </w:tc>
        <w:tc>
          <w:tcPr>
            <w:tcW w:type="dxa" w:w="1080"/>
          </w:tcPr>
          <w:p>
            <w:r>
              <w:rPr>
                <w:rFonts w:ascii="Calibri" w:hAnsi="Calibri"/>
                <w:b/>
                <w:color w:val="E5484D"/>
                <w:sz w:val="22"/>
              </w:rPr>
              <w:t>-6.1%</w:t>
            </w:r>
          </w:p>
        </w:tc>
        <w:tc>
          <w:tcPr>
            <w:tcW w:type="dxa" w:w="1080"/>
          </w:tcPr>
          <w:p>
            <w:r>
              <w:rPr>
                <w:rFonts w:ascii="Calibri" w:hAnsi="Calibri"/>
                <w:sz w:val="22"/>
              </w:rPr>
              <w:t>No EPS guidance</w:t>
            </w:r>
          </w:p>
        </w:tc>
        <w:tc>
          <w:tcPr>
            <w:tcW w:type="dxa" w:w="1080"/>
          </w:tcPr>
          <w:p>
            <w:r>
              <w:rPr>
                <w:rFonts w:ascii="Calibri" w:hAnsi="Calibri"/>
                <w:sz w:val="22"/>
              </w:rPr>
              <w:t>No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(Diluted, Cont. Ops) — FY 2026</w:t>
            </w:r>
          </w:p>
        </w:tc>
        <w:tc>
          <w:tcPr>
            <w:tcW w:type="dxa" w:w="1080"/>
          </w:tcPr>
          <w:p>
            <w:r>
              <w:rPr>
                <w:rFonts w:ascii="Calibri" w:hAnsi="Calibri"/>
                <w:sz w:val="22"/>
              </w:rPr>
              <w:t>$9.24</w:t>
            </w:r>
          </w:p>
        </w:tc>
        <w:tc>
          <w:tcPr>
            <w:tcW w:type="dxa" w:w="1080"/>
          </w:tcPr>
          <w:p>
            <w:r>
              <w:rPr>
                <w:rFonts w:ascii="Calibri" w:hAnsi="Calibri"/>
                <w:sz w:val="22"/>
              </w:rPr>
              <w:t>$9.08</w:t>
            </w:r>
          </w:p>
        </w:tc>
        <w:tc>
          <w:tcPr>
            <w:tcW w:type="dxa" w:w="1080"/>
          </w:tcPr>
          <w:p>
            <w:r>
              <w:rPr>
                <w:rFonts w:ascii="Calibri" w:hAnsi="Calibri"/>
                <w:sz w:val="22"/>
              </w:rPr>
              <w:t>-1.7%</w:t>
            </w:r>
          </w:p>
        </w:tc>
        <w:tc>
          <w:tcPr>
            <w:tcW w:type="dxa" w:w="1080"/>
          </w:tcPr>
          <w:p>
            <w:r>
              <w:rPr>
                <w:rFonts w:ascii="Calibri" w:hAnsi="Calibri"/>
                <w:sz w:val="22"/>
              </w:rPr>
              <w:t>No EPS guidance</w:t>
            </w:r>
          </w:p>
        </w:tc>
        <w:tc>
          <w:tcPr>
            <w:tcW w:type="dxa" w:w="1080"/>
          </w:tcPr>
          <w:p>
            <w:r>
              <w:rPr>
                <w:rFonts w:ascii="Calibri" w:hAnsi="Calibri"/>
                <w:sz w:val="22"/>
              </w:rPr>
              <w:t>No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Agg. Cash GP/Ton — Q2 2026</w:t>
            </w:r>
          </w:p>
        </w:tc>
        <w:tc>
          <w:tcPr>
            <w:tcW w:type="dxa" w:w="1080"/>
          </w:tcPr>
          <w:p>
            <w:r>
              <w:rPr>
                <w:rFonts w:ascii="Calibri" w:hAnsi="Calibri"/>
                <w:sz w:val="22"/>
              </w:rPr>
              <w:t>$11.97</w:t>
            </w:r>
          </w:p>
        </w:tc>
        <w:tc>
          <w:tcPr>
            <w:tcW w:type="dxa" w:w="1080"/>
          </w:tcPr>
          <w:p>
            <w:r>
              <w:rPr>
                <w:rFonts w:ascii="Calibri" w:hAnsi="Calibri"/>
                <w:sz w:val="22"/>
              </w:rPr>
              <w:t>$11.85</w:t>
            </w:r>
          </w:p>
        </w:tc>
        <w:tc>
          <w:tcPr>
            <w:tcW w:type="dxa" w:w="1080"/>
          </w:tcPr>
          <w:p>
            <w:r>
              <w:rPr>
                <w:rFonts w:ascii="Calibri" w:hAnsi="Calibri"/>
                <w:sz w:val="22"/>
              </w:rPr>
              <w:t>-1.0%</w:t>
            </w:r>
          </w:p>
        </w:tc>
        <w:tc>
          <w:tcPr>
            <w:tcW w:type="dxa" w:w="1080"/>
          </w:tcPr>
          <w:p>
            <w:r>
              <w:rPr>
                <w:rFonts w:ascii="Calibri" w:hAnsi="Calibri"/>
                <w:sz w:val="22"/>
              </w:rPr>
              <w:t>No direct guidance</w:t>
            </w:r>
          </w:p>
        </w:tc>
        <w:tc>
          <w:tcPr>
            <w:tcW w:type="dxa" w:w="1080"/>
          </w:tcPr>
          <w:p>
            <w:r>
              <w:rPr>
                <w:rFonts w:ascii="Calibri" w:hAnsi="Calibri"/>
                <w:sz w:val="22"/>
              </w:rPr>
              <w:t>No direct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Agg. Cash GP/Ton — FY 2026</w:t>
            </w:r>
          </w:p>
        </w:tc>
        <w:tc>
          <w:tcPr>
            <w:tcW w:type="dxa" w:w="1080"/>
          </w:tcPr>
          <w:p>
            <w:r>
              <w:rPr>
                <w:rFonts w:ascii="Calibri" w:hAnsi="Calibri"/>
                <w:sz w:val="22"/>
              </w:rPr>
              <w:t>$11.95</w:t>
            </w:r>
          </w:p>
        </w:tc>
        <w:tc>
          <w:tcPr>
            <w:tcW w:type="dxa" w:w="1080"/>
          </w:tcPr>
          <w:p>
            <w:r>
              <w:rPr>
                <w:rFonts w:ascii="Calibri" w:hAnsi="Calibri"/>
                <w:sz w:val="22"/>
              </w:rPr>
              <w:t>$11.92</w:t>
            </w:r>
          </w:p>
        </w:tc>
        <w:tc>
          <w:tcPr>
            <w:tcW w:type="dxa" w:w="1080"/>
          </w:tcPr>
          <w:p>
            <w:r>
              <w:rPr>
                <w:rFonts w:ascii="Calibri" w:hAnsi="Calibri"/>
                <w:sz w:val="22"/>
              </w:rPr>
              <w:t>-0.3%</w:t>
            </w:r>
          </w:p>
        </w:tc>
        <w:tc>
          <w:tcPr>
            <w:tcW w:type="dxa" w:w="1080"/>
          </w:tcPr>
          <w:p>
            <w:r>
              <w:rPr>
                <w:rFonts w:ascii="Calibri" w:hAnsi="Calibri"/>
                <w:sz w:val="22"/>
              </w:rPr>
              <w:t>No direct guidance</w:t>
            </w:r>
          </w:p>
        </w:tc>
        <w:tc>
          <w:tcPr>
            <w:tcW w:type="dxa" w:w="1080"/>
          </w:tcPr>
          <w:p>
            <w:r>
              <w:rPr>
                <w:rFonts w:ascii="Calibri" w:hAnsi="Calibri"/>
                <w:sz w:val="22"/>
              </w:rPr>
              <w:t>No direct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Agg. Volume — Q2 2026 (M tons)</w:t>
            </w:r>
          </w:p>
        </w:tc>
        <w:tc>
          <w:tcPr>
            <w:tcW w:type="dxa" w:w="1080"/>
          </w:tcPr>
          <w:p>
            <w:r>
              <w:rPr>
                <w:rFonts w:ascii="Calibri" w:hAnsi="Calibri"/>
                <w:sz w:val="22"/>
              </w:rPr>
              <w:t>61.2M</w:t>
            </w:r>
          </w:p>
        </w:tc>
        <w:tc>
          <w:tcPr>
            <w:tcW w:type="dxa" w:w="1080"/>
          </w:tcPr>
          <w:p>
            <w:r>
              <w:rPr>
                <w:rFonts w:ascii="Calibri" w:hAnsi="Calibri"/>
                <w:sz w:val="22"/>
              </w:rPr>
              <w:t>60.1M</w:t>
            </w:r>
          </w:p>
        </w:tc>
        <w:tc>
          <w:tcPr>
            <w:tcW w:type="dxa" w:w="1080"/>
          </w:tcPr>
          <w:p>
            <w:r>
              <w:rPr>
                <w:rFonts w:ascii="Calibri" w:hAnsi="Calibri"/>
                <w:sz w:val="22"/>
              </w:rPr>
              <w:t>-1.8%</w:t>
            </w:r>
          </w:p>
        </w:tc>
        <w:tc>
          <w:tcPr>
            <w:tcW w:type="dxa" w:w="1080"/>
          </w:tcPr>
          <w:p>
            <w:r>
              <w:rPr>
                <w:rFonts w:ascii="Calibri" w:hAnsi="Calibri"/>
                <w:sz w:val="22"/>
              </w:rPr>
              <w:t>Low single-digit growth (FY)</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In line</w:t>
            </w:r>
          </w:p>
        </w:tc>
      </w:tr>
    </w:tbl>
    <w:p>
      <w:r>
        <w:rPr>
          <w:rFonts w:ascii="Calibri" w:hAnsi="Calibri"/>
          <w:i/>
          <w:color w:val="525866"/>
          <w:sz w:val="22"/>
        </w:rPr>
        <w:t>The most notable revision since the Q1 print is the Q2 EPS estimate, which has been cut ~6% from the post-earnings baseline — consistent with the market absorbing the diesel headwind disclosure. FY estimates are essentially flat, confirming the street views Q2 diesel as a timing issue rather than a structural impairment. The Q2 EBITDA estimate of $646M is down ~4% from the immediate post-Q1 baseline, suggesting analysts have already de-risked the quarter for the diesel drag.</w:t>
      </w:r>
    </w:p>
    <w:p>
      <w:r>
        <w:rPr>
          <w:rFonts w:ascii="Calibri" w:hAnsi="Calibri"/>
          <w:i/>
          <w:color w:val="525866"/>
          <w:sz w:val="22"/>
        </w:rPr>
        <w:t>Source: Visible Alpha Consensus and Actuals Data. Post-Q1 baseline as of May 6, 2026 (5 trading days after April 29, 2026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VMC has underperformed both the S&amp;P 500 and the materials ETF since the Q1 earnings beat, declining ~2.6% vs. SPY +4.1% and IYM flat — suggesting the stock is </w:t>
      </w:r>
    </w:p>
    <w:p>
      <w:r>
        <w:rPr>
          <w:rFonts w:ascii="Calibri" w:hAnsi="Calibri"/>
          <w:b/>
          <w:color w:val="525866"/>
          <w:sz w:val="22"/>
        </w:rPr>
        <w:t>not pricing in a beat</w:t>
      </w:r>
      <w:r>
        <w:rPr>
          <w:rFonts w:ascii="Calibri" w:hAnsi="Calibri"/>
          <w:color w:val="525866"/>
          <w:sz w:val="22"/>
        </w:rPr>
        <w:t>, and that the diesel headwind narrative has weighed on sentiment despite unchanged guidance. The underperformance creates asymmetric upside if Q2 volumes and pricing come in at or above plan.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VMC vs. IYM (iShares U.S. Basic Materials ETF) vs. S&amp;P 500 (SPY) — Indexed to 100 at April 29, 2026 (Q1 2026 Earnings Date). Source: Stock Price Data.</w:t>
      </w:r>
    </w:p>
    <w:p>
      <w:r>
        <w:rPr>
          <w:rFonts w:ascii="Calibri" w:hAnsi="Calibri"/>
          <w:b/>
          <w:color w:val="525866"/>
          <w:sz w:val="22"/>
        </w:rPr>
        <w:t xml:space="preserve">Sector ETF: </w:t>
      </w:r>
      <w:r>
        <w:rPr>
          <w:rFonts w:ascii="Calibri" w:hAnsi="Calibri"/>
          <w:color w:val="525866"/>
          <w:sz w:val="22"/>
        </w:rPr>
        <w:t>IYM (iShares U.S. Basic Materials ETF) — appropriate for VMC's sub-sector as a large-cap U.S. basic materials producer. VMC is a top holding in IYM.</w:t>
      </w:r>
    </w:p>
    <w:p>
      <w:r>
        <w:rPr>
          <w:rFonts w:ascii="Calibri" w:hAnsi="Calibri"/>
          <w:b/>
          <w:color w:val="525866"/>
          <w:sz w:val="22"/>
        </w:rPr>
        <w:t>Performance Summary (April 29 – July 27, 2026):</w:t>
      </w:r>
    </w:p>
    <w:p>
      <w:pPr>
        <w:pStyle w:val="ListBullet"/>
        <w:ind w:left="360" w:hanging="360"/>
      </w:pPr>
      <w:r>
        <w:rPr>
          <w:rFonts w:ascii="Calibri" w:hAnsi="Calibri"/>
          <w:b/>
          <w:color w:val="525866"/>
          <w:sz w:val="22"/>
        </w:rPr>
        <w:t xml:space="preserve">VMC: </w:t>
      </w:r>
      <w:r>
        <w:rPr>
          <w:rFonts w:ascii="Calibri" w:hAnsi="Calibri"/>
          <w:color w:val="525866"/>
          <w:sz w:val="22"/>
        </w:rPr>
        <w:t>$296.08 → $284.49 (-$11.59 / -3.9% on close-to-close basis). Stock initially rallied to $301.74 on April 30 following the Q1 beat, then sold off steadily through mid-May as the diesel headwind narrative took hold, reaching a trough of ~$259 on May 19. Partial recovery through mid-June (peak ~$313 on June 25) before renewed weakness in July.</w:t>
      </w:r>
    </w:p>
    <w:p>
      <w:pPr>
        <w:pStyle w:val="ListBullet"/>
        <w:ind w:left="360" w:hanging="360"/>
      </w:pPr>
      <w:r>
        <w:rPr>
          <w:rFonts w:ascii="Calibri" w:hAnsi="Calibri"/>
          <w:b/>
          <w:color w:val="525866"/>
          <w:sz w:val="22"/>
        </w:rPr>
        <w:t xml:space="preserve">S&amp;P 500 (SPY): </w:t>
      </w:r>
      <w:r>
        <w:rPr>
          <w:rFonts w:ascii="Calibri" w:hAnsi="Calibri"/>
          <w:color w:val="525866"/>
          <w:sz w:val="22"/>
        </w:rPr>
        <w:t>$711.58 → $739.09 (+$27.51 / +3.9%). Broad market strength throughout the period.</w:t>
      </w:r>
    </w:p>
    <w:p>
      <w:pPr>
        <w:pStyle w:val="ListBullet"/>
        <w:ind w:left="360" w:hanging="360"/>
      </w:pPr>
      <w:r>
        <w:rPr>
          <w:rFonts w:ascii="Calibri" w:hAnsi="Calibri"/>
          <w:b/>
          <w:color w:val="525866"/>
          <w:sz w:val="22"/>
        </w:rPr>
        <w:t xml:space="preserve">IYM (Materials ETF): </w:t>
      </w:r>
      <w:r>
        <w:rPr>
          <w:rFonts w:ascii="Calibri" w:hAnsi="Calibri"/>
          <w:color w:val="525866"/>
          <w:sz w:val="22"/>
        </w:rPr>
        <w:t>$179.06 → $178.04 (-$1.02 / -0.6%). Materials sector broadly flat, with VMC underperforming its sector peers.</w:t>
      </w:r>
    </w:p>
    <w:p>
      <w:pPr>
        <w:pStyle w:val="ListBullet"/>
        <w:ind w:left="360" w:hanging="360"/>
      </w:pPr>
      <w:r>
        <w:rPr>
          <w:rFonts w:ascii="Calibri" w:hAnsi="Calibri"/>
          <w:b/>
          <w:color w:val="525866"/>
          <w:sz w:val="22"/>
        </w:rPr>
        <w:t xml:space="preserve">Key events: </w:t>
      </w:r>
      <w:r>
        <w:rPr>
          <w:rFonts w:ascii="Calibri" w:hAnsi="Calibri"/>
          <w:color w:val="525866"/>
          <w:sz w:val="22"/>
        </w:rPr>
        <w:t>President Baker retirement announced May 11 (modest negative); NAFTA arbitration update July 27 (negligible monetary award, but removes overhang). Wells Fargo cut PT to $305 (equal weight) in July; UBS maintained buy with $349 PT.</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Peer commentary from Q1 2026 earnings calls (reported April–May 2026) is broadly constructive for VMC's Q2 print — all major aggregates peers confirmed strong volume momentum, mid-year price increases across all markets, and diesel headwinds peaking in Q2 before moderating in H2. The read-through is particularly positive on public infrastructure demand and data center activity, both key VMC volume drivers.</w:t>
      </w:r>
    </w:p>
    <w:p>
      <w:r>
        <w:rPr>
          <w:rFonts w:ascii="Calibri" w:hAnsi="Calibri"/>
          <w:i/>
          <w:color w:val="525866"/>
          <w:sz w:val="22"/>
        </w:rPr>
        <w:t>Note: Only commentary from Q1 2026 earnings calls (April–May 2026) is included below, as these calls contain forward-looking statements about Q2 2026 and the remainder of the year — the current reporting quarter for VMC. Prior-quarter results commentary has been excluded.</w:t>
      </w:r>
    </w:p>
    <w:p>
      <w:pPr>
        <w:pStyle w:val="Heading3"/>
      </w:pPr>
      <w:r>
        <w:rPr>
          <w:rFonts w:ascii="Calibri" w:hAnsi="Calibri"/>
          <w:b/>
          <w:color w:val="3B4259"/>
          <w:sz w:val="24"/>
        </w:rPr>
        <w:t>Martin Marietta Materials (MLM) — Q1 2026 Earnings Call (April 30, 2026)</w:t>
      </w:r>
    </w:p>
    <w:p>
      <w:r>
        <w:rPr>
          <w:rFonts w:ascii="Calibri" w:hAnsi="Calibri"/>
          <w:b/>
          <w:color w:val="525866"/>
          <w:sz w:val="22"/>
        </w:rPr>
        <w:t xml:space="preserve">Read-Through Signal: </w:t>
      </w:r>
      <w:r>
        <w:rPr>
          <w:rFonts w:ascii="Calibri" w:hAnsi="Calibri"/>
          <w:b/>
          <w:color w:val="30A46C"/>
          <w:sz w:val="22"/>
        </w:rPr>
        <w:t>Strongly positive for VMC Q2 volumes and pricing.</w:t>
      </w:r>
    </w:p>
    <w:p>
      <w:pPr>
        <w:pStyle w:val="ListBullet"/>
        <w:ind w:left="360" w:hanging="360"/>
      </w:pPr>
      <w:r>
        <w:rPr>
          <w:rFonts w:ascii="Calibri" w:hAnsi="Calibri"/>
          <w:b/>
          <w:color w:val="525866"/>
          <w:sz w:val="22"/>
        </w:rPr>
        <w:t xml:space="preserve">Volume momentum into Q2: </w:t>
      </w:r>
      <w:r>
        <w:rPr>
          <w:rFonts w:ascii="Calibri" w:hAnsi="Calibri"/>
          <w:color w:val="525866"/>
          <w:sz w:val="22"/>
        </w:rPr>
        <w:t>MLM reported organic aggregate shipments up 7.2% in Q1, "meaningfully exceeding" guidance, and noted that daily shipments "continued to trend above expectations in April, led by infrastructure and nonresidential strength." CEO Ward Nye stated April has come out of the box "very attractively" and shipments are expected to trend toward the higher end of guidance. This is a direct positive read-through for VMC's Q2 volume trajectory.</w:t>
      </w:r>
    </w:p>
    <w:p>
      <w:pPr>
        <w:pStyle w:val="ListBullet"/>
        <w:ind w:left="360" w:hanging="360"/>
      </w:pPr>
      <w:r>
        <w:rPr>
          <w:rFonts w:ascii="Calibri" w:hAnsi="Calibri"/>
          <w:b/>
          <w:color w:val="525866"/>
          <w:sz w:val="22"/>
        </w:rPr>
        <w:t xml:space="preserve">Mid-year price increases across all markets: </w:t>
      </w:r>
      <w:r>
        <w:rPr>
          <w:rFonts w:ascii="Calibri" w:hAnsi="Calibri"/>
          <w:color w:val="525866"/>
          <w:sz w:val="22"/>
        </w:rPr>
        <w:t>MLM confirmed it is "already out with midyears pretty much across the entire country" and anticipates "a greater realization of midyear price increases this year than last year." Organic pricing expected at ~4% absent mid-years, with upside from mid-year implementation. Directly corroborates VMC's commercial strategy and pricing confidence.</w:t>
      </w:r>
    </w:p>
    <w:p>
      <w:pPr>
        <w:pStyle w:val="ListBullet"/>
        <w:ind w:left="360" w:hanging="360"/>
      </w:pPr>
      <w:r>
        <w:rPr>
          <w:rFonts w:ascii="Calibri" w:hAnsi="Calibri"/>
          <w:b/>
          <w:color w:val="525866"/>
          <w:sz w:val="22"/>
        </w:rPr>
        <w:t xml:space="preserve">Diesel headwind quantified and peaking in Q2: </w:t>
      </w:r>
      <w:r>
        <w:rPr>
          <w:rFonts w:ascii="Calibri" w:hAnsi="Calibri"/>
          <w:color w:val="525866"/>
          <w:sz w:val="22"/>
        </w:rPr>
        <w:t>MLM estimated total diesel headwind of ~$36M in aggregates (~$50M company-wide), with "about $20M to $25M coming through in Q2." Diesel expected to "peak probably in Q2, then return to somewhat more moderated levels in Q3 and Q4." This is nearly identical to VMC's ~$25M Q2 diesel drag disclosure — confirming the headwind is industry-wide and not VMC-specific.</w:t>
      </w:r>
    </w:p>
    <w:p>
      <w:pPr>
        <w:pStyle w:val="ListBullet"/>
        <w:ind w:left="360" w:hanging="360"/>
      </w:pPr>
      <w:r>
        <w:rPr>
          <w:rFonts w:ascii="Calibri" w:hAnsi="Calibri"/>
          <w:b/>
          <w:color w:val="525866"/>
          <w:sz w:val="22"/>
        </w:rPr>
        <w:t xml:space="preserve">Infrastructure and data center demand robust: </w:t>
      </w:r>
      <w:r>
        <w:rPr>
          <w:rFonts w:ascii="Calibri" w:hAnsi="Calibri"/>
          <w:color w:val="525866"/>
          <w:sz w:val="22"/>
        </w:rPr>
        <w:t>Highway tonnage up 23% YoY in Q1; data centers up 62%; warehousing up 57%; LNG up 20%. MLM noted "nearly half of IIJA highway and bridge funding remaining undistributed as of late February" and state DOT budgets up year-over-year in the vast majority of instances. Positive read-through for VMC's public infrastructure and private non-res volume drivers.</w:t>
      </w:r>
    </w:p>
    <w:p>
      <w:pPr>
        <w:pStyle w:val="ListBullet"/>
        <w:ind w:left="360" w:hanging="360"/>
      </w:pPr>
      <w:r>
        <w:rPr>
          <w:rFonts w:ascii="Calibri" w:hAnsi="Calibri"/>
          <w:b/>
          <w:color w:val="525866"/>
          <w:sz w:val="22"/>
        </w:rPr>
        <w:t xml:space="preserve">Price/cost spread intact: </w:t>
      </w:r>
      <w:r>
        <w:rPr>
          <w:rFonts w:ascii="Calibri" w:hAnsi="Calibri"/>
          <w:color w:val="525866"/>
          <w:sz w:val="22"/>
        </w:rPr>
        <w:t>MLM confirmed underlying organic COGS per ton tracking below implied 3% guidance, with the price/cost spread "fully intact." Management expressed confidence in delivering 200+ bps of spread over the 5-year period. Supports VMC's thesis that pricing can outpace cost inflation structurally.</w:t>
      </w:r>
    </w:p>
    <w:p>
      <w:pPr>
        <w:pStyle w:val="ListBullet"/>
        <w:ind w:left="360" w:hanging="360"/>
      </w:pPr>
      <w:r>
        <w:rPr>
          <w:rFonts w:ascii="Calibri" w:hAnsi="Calibri"/>
          <w:b/>
          <w:color w:val="525866"/>
          <w:sz w:val="22"/>
        </w:rPr>
        <w:t xml:space="preserve">Guidance reaffirmed with upside levers: </w:t>
      </w:r>
      <w:r>
        <w:rPr>
          <w:rFonts w:ascii="Calibri" w:hAnsi="Calibri"/>
          <w:color w:val="525866"/>
          <w:sz w:val="22"/>
        </w:rPr>
        <w:t>MLM reaffirmed FY 2026 Adjusted EBITDA guidance of $2.43B at midpoint, with mid-year pricing, network optimization, and the New Frontier Materials acquisition all cited as potential "meaningful upsides" not yet in guidance. CEO stated he is "feeling pretty optimistic" about the midyear reassessment.</w:t>
      </w:r>
    </w:p>
    <w:p>
      <w:pPr>
        <w:pStyle w:val="Heading3"/>
      </w:pPr>
      <w:r>
        <w:rPr>
          <w:rFonts w:ascii="Calibri" w:hAnsi="Calibri"/>
          <w:b/>
          <w:color w:val="3B4259"/>
          <w:sz w:val="24"/>
        </w:rPr>
        <w:t>CRH plc — Q1 2026 Earnings Call (April 30, 2026)</w:t>
      </w:r>
    </w:p>
    <w:p>
      <w:r>
        <w:rPr>
          <w:rFonts w:ascii="Calibri" w:hAnsi="Calibri"/>
          <w:b/>
          <w:color w:val="525866"/>
          <w:sz w:val="22"/>
        </w:rPr>
        <w:t xml:space="preserve">Read-Through Signal: </w:t>
      </w:r>
      <w:r>
        <w:rPr>
          <w:rFonts w:ascii="Calibri" w:hAnsi="Calibri"/>
          <w:b/>
          <w:color w:val="30A46C"/>
          <w:sz w:val="22"/>
        </w:rPr>
        <w:t>Positive for VMC Q2 volumes and pricing; confirms industry-wide pricing discipline.</w:t>
      </w:r>
    </w:p>
    <w:p>
      <w:pPr>
        <w:pStyle w:val="ListBullet"/>
        <w:ind w:left="360" w:hanging="360"/>
      </w:pPr>
      <w:r>
        <w:rPr>
          <w:rFonts w:ascii="Calibri" w:hAnsi="Calibri"/>
          <w:b/>
          <w:color w:val="525866"/>
          <w:sz w:val="22"/>
        </w:rPr>
        <w:t xml:space="preserve">Strong early-season volume momentum: </w:t>
      </w:r>
      <w:r>
        <w:rPr>
          <w:rFonts w:ascii="Calibri" w:hAnsi="Calibri"/>
          <w:color w:val="525866"/>
          <w:sz w:val="22"/>
        </w:rPr>
        <w:t>CRH reported Q1 aggregates volumes up 14% (mix-adjusted pricing +5%), with "robust volumes across all product lines reflecting good early season project activity." Backlogs are "nicely up year-on-year" and bidding activity continues to grow. Management noted "2026 is expected to be a record year for investment in transportation infrastructure."</w:t>
      </w:r>
    </w:p>
    <w:p>
      <w:pPr>
        <w:pStyle w:val="ListBullet"/>
        <w:ind w:left="360" w:hanging="360"/>
      </w:pPr>
      <w:r>
        <w:rPr>
          <w:rFonts w:ascii="Calibri" w:hAnsi="Calibri"/>
          <w:b/>
          <w:color w:val="525866"/>
          <w:sz w:val="22"/>
        </w:rPr>
        <w:t xml:space="preserve">Mid-single-digit pricing confirmed for full year: </w:t>
      </w:r>
      <w:r>
        <w:rPr>
          <w:rFonts w:ascii="Calibri" w:hAnsi="Calibri"/>
          <w:color w:val="525866"/>
          <w:sz w:val="22"/>
        </w:rPr>
        <w:t>CRH's mix-adjusted aggregate pricing of +5% in Q1 was described as "indicative of what we should expect to see for the full year," supporting "mid-single-digit price expectations." This directly corroborates VMC's mid-single-digit pricing guidance and the industry's ability to sustain pricing power.</w:t>
      </w:r>
    </w:p>
    <w:p>
      <w:pPr>
        <w:pStyle w:val="ListBullet"/>
        <w:ind w:left="360" w:hanging="360"/>
      </w:pPr>
      <w:r>
        <w:rPr>
          <w:rFonts w:ascii="Calibri" w:hAnsi="Calibri"/>
          <w:b/>
          <w:color w:val="525866"/>
          <w:sz w:val="22"/>
        </w:rPr>
        <w:t xml:space="preserve">IIJA funding runway intact: </w:t>
      </w:r>
      <w:r>
        <w:rPr>
          <w:rFonts w:ascii="Calibri" w:hAnsi="Calibri"/>
          <w:color w:val="525866"/>
          <w:sz w:val="22"/>
        </w:rPr>
        <w:t>CRH confirmed "approximately 50% of IIJA highway funds are yet to be deployed" and state DOT budgets are "up 6% on the prior year." Management is "optimistic that a [highway reauthorization] bill will get passed in the second half of the year" at a "meaningful step-up" from current levels. Positive multi-year read-through for VMC's public infrastructure volumes.</w:t>
      </w:r>
    </w:p>
    <w:p>
      <w:pPr>
        <w:pStyle w:val="ListBullet"/>
        <w:ind w:left="360" w:hanging="360"/>
      </w:pPr>
      <w:r>
        <w:rPr>
          <w:rFonts w:ascii="Calibri" w:hAnsi="Calibri"/>
          <w:b/>
          <w:color w:val="525866"/>
          <w:sz w:val="22"/>
        </w:rPr>
        <w:t xml:space="preserve">Data center and reindustrialization demand strong: </w:t>
      </w:r>
      <w:r>
        <w:rPr>
          <w:rFonts w:ascii="Calibri" w:hAnsi="Calibri"/>
          <w:color w:val="525866"/>
          <w:sz w:val="22"/>
        </w:rPr>
        <w:t>CRH cited a large data center facility in Michigan delivering "over 1.2 million tons of aggregates in Q1 alone" and active involvement in chip plant construction in Boise, Idaho. Reindustrialization demand expected to drive "continued strong demand for large-scale manufacturing and data center investment." Confirms VMC's data center pipeline thesis.</w:t>
      </w:r>
    </w:p>
    <w:p>
      <w:pPr>
        <w:pStyle w:val="ListBullet"/>
        <w:ind w:left="360" w:hanging="360"/>
      </w:pPr>
      <w:r>
        <w:rPr>
          <w:rFonts w:ascii="Calibri" w:hAnsi="Calibri"/>
          <w:b/>
          <w:color w:val="525866"/>
          <w:sz w:val="22"/>
        </w:rPr>
        <w:t xml:space="preserve">Energy cost management via hedging: </w:t>
      </w:r>
      <w:r>
        <w:rPr>
          <w:rFonts w:ascii="Calibri" w:hAnsi="Calibri"/>
          <w:color w:val="525866"/>
          <w:sz w:val="22"/>
        </w:rPr>
        <w:t>CRH noted energy is ~5% of revenues and employs a "rolling 9-month hedging policy," providing good visibility. Mid-single-digit inflation expected in labor, raw materials, and maintenance. CRH's hedged position means its diesel exposure is less acute than VMC's, but the commentary confirms the industry-wide cost environment.</w:t>
      </w:r>
    </w:p>
    <w:p>
      <w:pPr>
        <w:pStyle w:val="ListBullet"/>
        <w:ind w:left="360" w:hanging="360"/>
      </w:pPr>
      <w:r>
        <w:rPr>
          <w:rFonts w:ascii="Calibri" w:hAnsi="Calibri"/>
          <w:b/>
          <w:color w:val="525866"/>
          <w:sz w:val="22"/>
        </w:rPr>
        <w:t xml:space="preserve">Guidance reaffirmed: </w:t>
      </w:r>
      <w:r>
        <w:rPr>
          <w:rFonts w:ascii="Calibri" w:hAnsi="Calibri"/>
          <w:color w:val="525866"/>
          <w:sz w:val="22"/>
        </w:rPr>
        <w:t>CRH reaffirmed FY 2026 Adjusted EBITDA guidance of $8.1–$8.5B, with net incremental EBITDA from acquisitions/divestitures of ~$200M. Management noted it is "still very early in the construction season" but expressed confidence in the demand backdrop.</w:t>
      </w:r>
    </w:p>
    <w:p>
      <w:pPr>
        <w:pStyle w:val="Heading3"/>
      </w:pPr>
      <w:r>
        <w:rPr>
          <w:rFonts w:ascii="Calibri" w:hAnsi="Calibri"/>
          <w:b/>
          <w:color w:val="3B4259"/>
          <w:sz w:val="24"/>
        </w:rPr>
        <w:t>Eagle Materials (EXP) — Q4 FY2026 Earnings Call (May 19, 2026)</w:t>
      </w:r>
    </w:p>
    <w:p>
      <w:r>
        <w:rPr>
          <w:rFonts w:ascii="Calibri" w:hAnsi="Calibri"/>
          <w:b/>
          <w:color w:val="525866"/>
          <w:sz w:val="22"/>
        </w:rPr>
        <w:t xml:space="preserve">Read-Through Signal: </w:t>
      </w:r>
      <w:r>
        <w:rPr>
          <w:rFonts w:ascii="Calibri" w:hAnsi="Calibri"/>
          <w:b/>
          <w:color w:val="30A46C"/>
          <w:sz w:val="22"/>
        </w:rPr>
        <w:t>Moderately positive; confirms infrastructure and data center strength, but EXP's cement/wallboard mix limits direct read-through to VMC aggregates.</w:t>
      </w:r>
    </w:p>
    <w:p>
      <w:pPr>
        <w:pStyle w:val="ListBullet"/>
        <w:ind w:left="360" w:hanging="360"/>
      </w:pPr>
      <w:r>
        <w:rPr>
          <w:rFonts w:ascii="Calibri" w:hAnsi="Calibri"/>
          <w:b/>
          <w:color w:val="525866"/>
          <w:sz w:val="22"/>
        </w:rPr>
        <w:t xml:space="preserve">Aggregates inflecting positively: </w:t>
      </w:r>
      <w:r>
        <w:rPr>
          <w:rFonts w:ascii="Calibri" w:hAnsi="Calibri"/>
          <w:color w:val="525866"/>
          <w:sz w:val="22"/>
        </w:rPr>
        <w:t>EXP reported record aggregate sales volume of 6.6M tons (+70% YoY including acquisitions; +24% organic), noting volumes in their aggregates businesses are "inflecting positively currently." Growth supported by "continued strength in public infrastructure spending and key areas of private nonresidential construction, such as data center development."</w:t>
      </w:r>
    </w:p>
    <w:p>
      <w:pPr>
        <w:pStyle w:val="ListBullet"/>
        <w:ind w:left="360" w:hanging="360"/>
      </w:pPr>
      <w:r>
        <w:rPr>
          <w:rFonts w:ascii="Calibri" w:hAnsi="Calibri"/>
          <w:b/>
          <w:color w:val="525866"/>
          <w:sz w:val="22"/>
        </w:rPr>
        <w:t xml:space="preserve">Infrastructure and data center demand robust: </w:t>
      </w:r>
      <w:r>
        <w:rPr>
          <w:rFonts w:ascii="Calibri" w:hAnsi="Calibri"/>
          <w:color w:val="525866"/>
          <w:sz w:val="22"/>
        </w:rPr>
        <w:t>EXP noted state budgets are "very healthy" and data centers have been "very strong, especially in the regions in which we operate." Management believes they are "just in the beginning in many of our markets" for data center development. Warehouses, data centers, and fabrication facilities are "much more meaningful than what people were expecting."</w:t>
      </w:r>
    </w:p>
    <w:p>
      <w:pPr>
        <w:pStyle w:val="ListBullet"/>
        <w:ind w:left="360" w:hanging="360"/>
      </w:pPr>
      <w:r>
        <w:rPr>
          <w:rFonts w:ascii="Calibri" w:hAnsi="Calibri"/>
          <w:b/>
          <w:color w:val="525866"/>
          <w:sz w:val="22"/>
        </w:rPr>
        <w:t xml:space="preserve">Cement price increases underway for April 1: </w:t>
      </w:r>
      <w:r>
        <w:rPr>
          <w:rFonts w:ascii="Calibri" w:hAnsi="Calibri"/>
          <w:color w:val="525866"/>
          <w:sz w:val="22"/>
        </w:rPr>
        <w:t>EXP confirmed cement price increases in "just about every market for April 1" and remains "optimistic about the underlying demand environment" for fiscal 2027 (calendar 2026). Volumes expected to show "positive momentum" despite national PCA data anticipating low-single-digit declines — EXP's markets outperformed the national average in calendar 2025.</w:t>
      </w:r>
    </w:p>
    <w:p>
      <w:pPr>
        <w:pStyle w:val="ListBullet"/>
        <w:ind w:left="360" w:hanging="360"/>
      </w:pPr>
      <w:r>
        <w:rPr>
          <w:rFonts w:ascii="Calibri" w:hAnsi="Calibri"/>
          <w:b/>
          <w:color w:val="525866"/>
          <w:sz w:val="22"/>
        </w:rPr>
        <w:t xml:space="preserve">Freight cost headwind: </w:t>
      </w:r>
      <w:r>
        <w:rPr>
          <w:rFonts w:ascii="Calibri" w:hAnsi="Calibri"/>
          <w:color w:val="525866"/>
          <w:sz w:val="22"/>
        </w:rPr>
        <w:t>EXP flagged freight cost increases of "at least $2, maybe pushing $3 per ton" for wallboard and "a couple of dollars per ton" for cement. The Baltic Dry Index has "ticked up recently," increasing costs for cement imports. This is a modest negative read-through for VMC's delivery cost environment, though VMC's surcharge mechanism provides a direct offset.</w:t>
      </w:r>
    </w:p>
    <w:p>
      <w:pPr>
        <w:pStyle w:val="ListBullet"/>
        <w:ind w:left="360" w:hanging="360"/>
      </w:pPr>
      <w:r>
        <w:rPr>
          <w:rFonts w:ascii="Calibri" w:hAnsi="Calibri"/>
          <w:b/>
          <w:color w:val="525866"/>
          <w:sz w:val="22"/>
        </w:rPr>
        <w:t xml:space="preserve">Residential weakness persists: </w:t>
      </w:r>
      <w:r>
        <w:rPr>
          <w:rFonts w:ascii="Calibri" w:hAnsi="Calibri"/>
          <w:color w:val="525866"/>
          <w:sz w:val="22"/>
        </w:rPr>
        <w:t>EXP noted the "near-term housing outlook is still facing several affordability headwinds" and wallboard demand is "dramatically below trend." Consistent with VMC's residential weakness narrative; no near-term catalyst expected.</w:t>
      </w:r>
    </w:p>
    <w:p>
      <w:pPr>
        <w:pStyle w:val="Heading3"/>
      </w:pPr>
      <w:r>
        <w:rPr>
          <w:rFonts w:ascii="Calibri" w:hAnsi="Calibri"/>
          <w:b/>
          <w:color w:val="3B4259"/>
          <w:sz w:val="24"/>
        </w:rPr>
        <w:t>Knife River Corporation (KNF) — Q1 2026 Earnings Call (May 5, 2026)</w:t>
      </w:r>
    </w:p>
    <w:p>
      <w:r>
        <w:rPr>
          <w:rFonts w:ascii="Calibri" w:hAnsi="Calibri"/>
          <w:b/>
          <w:color w:val="525866"/>
          <w:sz w:val="22"/>
        </w:rPr>
        <w:t xml:space="preserve">Read-Through Signal: </w:t>
      </w:r>
      <w:r>
        <w:rPr>
          <w:rFonts w:ascii="Calibri" w:hAnsi="Calibri"/>
          <w:b/>
          <w:color w:val="30A46C"/>
          <w:sz w:val="22"/>
        </w:rPr>
        <w:t>Positive for VMC Q2 volumes and pricing; particularly notable for diesel mitigation commentary and dynamic pricing adoption.</w:t>
      </w:r>
    </w:p>
    <w:p>
      <w:pPr>
        <w:pStyle w:val="ListBullet"/>
        <w:ind w:left="360" w:hanging="360"/>
      </w:pPr>
      <w:r>
        <w:rPr>
          <w:rFonts w:ascii="Calibri" w:hAnsi="Calibri"/>
          <w:b/>
          <w:color w:val="525866"/>
          <w:sz w:val="22"/>
        </w:rPr>
        <w:t xml:space="preserve">Strong volume growth and record backlog: </w:t>
      </w:r>
      <w:r>
        <w:rPr>
          <w:rFonts w:ascii="Calibri" w:hAnsi="Calibri"/>
          <w:color w:val="525866"/>
          <w:sz w:val="22"/>
        </w:rPr>
        <w:t>KNF reported aggregates volume up 26% in Q1 (half organic, half acquisitions), with a record backlog of $1.2B (up 25% YoY). Management is "confident in guidance and currently expect 2026 to trend toward the upper half of revenue and Adjusted EBITDA ranges." The record backlog with 75% expected to be completed in 2026 provides strong visibility into Q2 and H2 activity.</w:t>
      </w:r>
    </w:p>
    <w:p>
      <w:pPr>
        <w:pStyle w:val="ListBullet"/>
        <w:ind w:left="360" w:hanging="360"/>
      </w:pPr>
      <w:r>
        <w:rPr>
          <w:rFonts w:ascii="Calibri" w:hAnsi="Calibri"/>
          <w:b/>
          <w:color w:val="525866"/>
          <w:sz w:val="22"/>
        </w:rPr>
        <w:t xml:space="preserve">Mid-single-digit pricing on track: </w:t>
      </w:r>
      <w:r>
        <w:rPr>
          <w:rFonts w:ascii="Calibri" w:hAnsi="Calibri"/>
          <w:color w:val="525866"/>
          <w:sz w:val="22"/>
        </w:rPr>
        <w:t>KNF reported mix-adjusted aggregates pricing up 4.1% in Q1 (as-reported +1% due to geographic mix from Mountain region). Management remains "confident in full-year guidance of mid-single-digit pricing improvement" and noted aggregates gross profit margins were up 390 bps in Q1. Consistent with VMC's pricing trajectory.</w:t>
      </w:r>
    </w:p>
    <w:p>
      <w:pPr>
        <w:pStyle w:val="ListBullet"/>
        <w:ind w:left="360" w:hanging="360"/>
      </w:pPr>
      <w:r>
        <w:rPr>
          <w:rFonts w:ascii="Calibri" w:hAnsi="Calibri"/>
          <w:b/>
          <w:color w:val="525866"/>
          <w:sz w:val="22"/>
        </w:rPr>
        <w:t xml:space="preserve">Diesel mitigation via dynamic pricing: </w:t>
      </w:r>
      <w:r>
        <w:rPr>
          <w:rFonts w:ascii="Calibri" w:hAnsi="Calibri"/>
          <w:color w:val="525866"/>
          <w:sz w:val="22"/>
        </w:rPr>
        <w:t>KNF highlighted "dynamic pricing" as a key tool — the ability to price current diesel costs into daily bids for aggregates, ready-mix, and asphalt without waiting for a mid-year increase. KNF uses ~20–25M gallons of diesel annually with ~80% protected through mitigation practices (fuel surcharges, escalation clauses, fixed forward contracts). This is a positive read-through for the industry's ability to offset diesel headwinds commercially.</w:t>
      </w:r>
    </w:p>
    <w:p>
      <w:pPr>
        <w:pStyle w:val="ListBullet"/>
        <w:ind w:left="360" w:hanging="360"/>
      </w:pPr>
      <w:r>
        <w:rPr>
          <w:rFonts w:ascii="Calibri" w:hAnsi="Calibri"/>
          <w:b/>
          <w:color w:val="525866"/>
          <w:sz w:val="22"/>
        </w:rPr>
        <w:t xml:space="preserve">Energy headwinds began in March: </w:t>
      </w:r>
      <w:r>
        <w:rPr>
          <w:rFonts w:ascii="Calibri" w:hAnsi="Calibri"/>
          <w:color w:val="525866"/>
          <w:sz w:val="22"/>
        </w:rPr>
        <w:t>KNF noted it "didn't really begin to see those energy headwinds until later in the quarter, really in March" — consistent with VMC's disclosure that the diesel run-up began in February with March cost impact. Confirms the Q2 headwind is front-loaded in the quarter.</w:t>
      </w:r>
    </w:p>
    <w:p>
      <w:pPr>
        <w:pStyle w:val="ListBullet"/>
        <w:ind w:left="360" w:hanging="360"/>
      </w:pPr>
      <w:r>
        <w:rPr>
          <w:rFonts w:ascii="Calibri" w:hAnsi="Calibri"/>
          <w:b/>
          <w:color w:val="525866"/>
          <w:sz w:val="22"/>
        </w:rPr>
        <w:t xml:space="preserve">State DOT budgets up 15% in KNF markets: </w:t>
      </w:r>
      <w:r>
        <w:rPr>
          <w:rFonts w:ascii="Calibri" w:hAnsi="Calibri"/>
          <w:color w:val="525866"/>
          <w:sz w:val="22"/>
        </w:rPr>
        <w:t>KNF's state DOT budgets increased ~15% YoY vs. flat in non-KNF states, driven by strong population growth markets (Texas, Mountain states, Pacific Northwest). While KNF's geographic footprint differs from VMC's, the strong DOT budget environment is broadly supportive of public infrastructure demand across the industry.</w:t>
      </w:r>
    </w:p>
    <w:p>
      <w:pPr>
        <w:pStyle w:val="ListBullet"/>
        <w:ind w:left="360" w:hanging="360"/>
      </w:pPr>
      <w:r>
        <w:rPr>
          <w:rFonts w:ascii="Calibri" w:hAnsi="Calibri"/>
          <w:b/>
          <w:color w:val="525866"/>
          <w:sz w:val="22"/>
        </w:rPr>
        <w:t xml:space="preserve">Data centers and energy projects as emerging drivers: </w:t>
      </w:r>
      <w:r>
        <w:rPr>
          <w:rFonts w:ascii="Calibri" w:hAnsi="Calibri"/>
          <w:color w:val="525866"/>
          <w:sz w:val="22"/>
        </w:rPr>
        <w:t>KNF cited data center development, military spending, and energy projects (wind, solar, LNG) as structural demand drivers in its markets. Management noted midsized markets are "increasingly attractive" for data center growth due to low-cost power and land availability. Consistent with VMC's data center and energy infrastructure pipeline commentary.</w:t>
      </w:r>
    </w:p>
    <w:p>
      <w:r>
        <w:rPr>
          <w:rFonts w:ascii="Calibri" w:hAnsi="Calibri"/>
          <w:b/>
          <w:color w:val="525866"/>
          <w:sz w:val="22"/>
        </w:rPr>
        <w:t xml:space="preserve">Overall Peer Read-Through Summary: </w:t>
      </w:r>
      <w:r>
        <w:rPr>
          <w:rFonts w:ascii="Calibri" w:hAnsi="Calibri"/>
          <w:color w:val="525866"/>
          <w:sz w:val="22"/>
        </w:rPr>
        <w:t>The Q1 2026 earnings calls from MLM, CRH, and KNF collectively confirm: (1) aggregate volumes are tracking at or above expectations entering Q2; (2) mid-year price increases are being implemented across all markets with good realization prospects; (3) diesel headwinds are industry-wide, concentrated in Q2, and expected to moderate in H2; and (4) public infrastructure and data center demand remain robust with multi-year visibility. EXP's commentary adds confirmation on infrastructure and data center strength from a cement/aggregates perspective. The peer read-through is net positive for VMC's Q2 setup.</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p>
    <w:p>
      <w:r>
        <w:rPr>
          <w:rFonts w:ascii="Calibri" w:hAnsi="Calibri"/>
          <w:b/>
          <w:color w:val="525866"/>
          <w:sz w:val="22"/>
        </w:rPr>
        <w:t>NAFTA arbitration resolution (July 27, 2026)</w:t>
      </w:r>
      <w:r>
        <w:rPr>
          <w:rFonts w:ascii="Calibri" w:hAnsi="Calibri"/>
          <w:color w:val="525866"/>
          <w:sz w:val="22"/>
        </w:rPr>
        <w:t xml:space="preserve"> — the tribunal found Mexico violated NAFTA but awarded only negligible monetary damages, removing a long-running legal overhang but delivering no financial windfall. The President's retirement and analyst PT adjustments are secondary.</w:t>
      </w:r>
    </w:p>
    <w:p>
      <w:pPr>
        <w:pStyle w:val="ListBullet"/>
        <w:ind w:left="360" w:hanging="360"/>
      </w:pPr>
      <w:r>
        <w:rPr>
          <w:rFonts w:ascii="Calibri" w:hAnsi="Calibri"/>
          <w:b/>
          <w:color w:val="525866"/>
          <w:sz w:val="22"/>
        </w:rPr>
        <w:t xml:space="preserve">July 27, 2026 — NAFTA Arbitration Update (8-K): </w:t>
      </w:r>
      <w:r>
        <w:rPr>
          <w:rFonts w:ascii="Calibri" w:hAnsi="Calibri"/>
          <w:i/>
          <w:color w:val="525866"/>
          <w:sz w:val="22"/>
        </w:rPr>
        <w:t xml:space="preserve">The NAFTA tribunal issued its decision finding Mexico violated NAFTA in several respects related to the shutdown of VMC's Mexican quarrying operations, but awarded only "negligible" monetary damages. The decision removes a decade-long legal overhang (arbitration filed 2018) but delivers no material financial benefit. Implication: </w:t>
      </w:r>
      <w:r>
        <w:rPr>
          <w:rFonts w:ascii="Calibri" w:hAnsi="Calibri"/>
          <w:i/>
          <w:color w:val="525866"/>
          <w:sz w:val="22"/>
        </w:rPr>
        <w:t>Neutral to slightly negative — market had likely assigned some probability to a meaningful award. No impact on Q2 earnings.</w:t>
      </w:r>
    </w:p>
    <w:p>
      <w:pPr>
        <w:pStyle w:val="ListBullet"/>
        <w:ind w:left="360" w:hanging="360"/>
      </w:pPr>
      <w:r>
        <w:rPr>
          <w:rFonts w:ascii="Calibri" w:hAnsi="Calibri"/>
          <w:b/>
          <w:color w:val="525866"/>
          <w:sz w:val="22"/>
        </w:rPr>
        <w:t xml:space="preserve">July 15, 2026 — Q2 2026 Earnings Call Announced: </w:t>
      </w:r>
      <w:r>
        <w:rPr>
          <w:rFonts w:ascii="Calibri" w:hAnsi="Calibri"/>
          <w:color w:val="525866"/>
          <w:sz w:val="22"/>
        </w:rPr>
        <w:t>VMC announced its Q2 2026 conference call for July 29, 2026 at 9:00 a.m. CT. Confirms earnings date.</w:t>
      </w:r>
    </w:p>
    <w:p>
      <w:pPr>
        <w:pStyle w:val="ListBullet"/>
        <w:ind w:left="360" w:hanging="360"/>
      </w:pPr>
      <w:r>
        <w:rPr>
          <w:rFonts w:ascii="Calibri" w:hAnsi="Calibri"/>
          <w:b/>
          <w:color w:val="525866"/>
          <w:sz w:val="22"/>
        </w:rPr>
        <w:t xml:space="preserve">July 8–12, 2026 — Analyst Price Target Adjustments: </w:t>
      </w:r>
      <w:r>
        <w:rPr>
          <w:rFonts w:ascii="Calibri" w:hAnsi="Calibri"/>
          <w:i/>
          <w:color w:val="525866"/>
          <w:sz w:val="22"/>
        </w:rPr>
        <w:t xml:space="preserve">UBS decreased PT from $350 to $349 (maintained Buy); Wells Fargo lowered PT from $310 to $305 (Equal Weight); Wall Street Zen downgraded to Sell. Berenberg set $283 PT (Hold) on June 2. Implication: </w:t>
      </w:r>
      <w:r>
        <w:rPr>
          <w:rFonts w:ascii="Calibri" w:hAnsi="Calibri"/>
          <w:i/>
          <w:color w:val="525866"/>
          <w:sz w:val="22"/>
        </w:rPr>
        <w:t>Modest negative sentiment drift in July, with the Wells Fargo cut to $305 (near current price) suggesting limited near-term upside in the bear case. UBS's $349 Buy represents ~23% upside from current levels.</w:t>
      </w:r>
    </w:p>
    <w:p>
      <w:pPr>
        <w:pStyle w:val="ListBullet"/>
        <w:ind w:left="360" w:hanging="360"/>
      </w:pPr>
      <w:r>
        <w:rPr>
          <w:rFonts w:ascii="Calibri" w:hAnsi="Calibri"/>
          <w:b/>
          <w:color w:val="525866"/>
          <w:sz w:val="22"/>
        </w:rPr>
        <w:t xml:space="preserve">May 11, 2026 — President Thompson Baker II Retirement (8-K): </w:t>
      </w:r>
      <w:r>
        <w:rPr>
          <w:rFonts w:ascii="Calibri" w:hAnsi="Calibri"/>
          <w:i/>
          <w:color w:val="525866"/>
          <w:sz w:val="22"/>
        </w:rPr>
        <w:t xml:space="preserve">Baker announced retirement effective July 15, 2026. CEO Ronnie Pruitt (appointed January 2026) remains in place. Implication: </w:t>
      </w:r>
      <w:r>
        <w:rPr>
          <w:rFonts w:ascii="Calibri" w:hAnsi="Calibri"/>
          <w:i/>
          <w:color w:val="525866"/>
          <w:sz w:val="22"/>
        </w:rPr>
        <w:t>Minor leadership transition; Pruitt's CEO appointment was the primary change. Baker's departure removes a key operational leader but is not expected to disrupt strategy.</w:t>
      </w:r>
    </w:p>
    <w:p>
      <w:pPr>
        <w:pStyle w:val="ListBullet"/>
        <w:ind w:left="360" w:hanging="360"/>
      </w:pPr>
      <w:r>
        <w:rPr>
          <w:rFonts w:ascii="Calibri" w:hAnsi="Calibri"/>
          <w:b/>
          <w:color w:val="525866"/>
          <w:sz w:val="22"/>
        </w:rPr>
        <w:t xml:space="preserve">May 8, 2026 — Annual Meeting of Shareholders: </w:t>
      </w:r>
      <w:r>
        <w:rPr>
          <w:rFonts w:ascii="Calibri" w:hAnsi="Calibri"/>
          <w:color w:val="525866"/>
          <w:sz w:val="22"/>
        </w:rPr>
        <w:t>All five director nominees elected; Say-on-Pay approved (108.9M for vs. 3.7M against); Deloitte &amp; Touche reappointed as auditor. No governance surprises.</w:t>
      </w:r>
    </w:p>
    <w:p>
      <w:pPr>
        <w:pStyle w:val="ListBullet"/>
        <w:ind w:left="360" w:hanging="360"/>
      </w:pPr>
      <w:r>
        <w:rPr>
          <w:rFonts w:ascii="Calibri" w:hAnsi="Calibri"/>
          <w:b/>
          <w:color w:val="525866"/>
          <w:sz w:val="22"/>
        </w:rPr>
        <w:t xml:space="preserve">April 30, 2026 — Post-Q1 Analyst Upgrades/PT Raises: </w:t>
      </w:r>
      <w:r>
        <w:rPr>
          <w:rFonts w:ascii="Calibri" w:hAnsi="Calibri"/>
          <w:i/>
          <w:color w:val="525866"/>
          <w:sz w:val="22"/>
        </w:rPr>
        <w:t xml:space="preserve">Stephens raised PT from $330 to $340 (Overweight); Barclays raised PT from $296 to $340 (Overweight); Stifel set $333 PT; Raymond James set $325 PT; Citigroup cut PT from $365 to $355 (Buy). Implication: </w:t>
      </w:r>
      <w:r>
        <w:rPr>
          <w:rFonts w:ascii="Calibri" w:hAnsi="Calibri"/>
          <w:i/>
          <w:color w:val="525866"/>
          <w:sz w:val="22"/>
        </w:rPr>
        <w:t>Broad analyst community viewed Q1 beat positively, with most raising PTs. Current consensus PT of ~$327–$328 implies ~15% upside from current levels.</w:t>
      </w:r>
    </w:p>
    <w:p>
      <w:pPr>
        <w:pStyle w:val="ListBullet"/>
        <w:ind w:left="360" w:hanging="360"/>
      </w:pPr>
      <w:r>
        <w:rPr>
          <w:rFonts w:ascii="Calibri" w:hAnsi="Calibri"/>
          <w:b/>
          <w:color w:val="525866"/>
          <w:sz w:val="22"/>
        </w:rPr>
        <w:t xml:space="preserve">Ongoing — California Ready-Mix Divestiture: </w:t>
      </w:r>
      <w:r>
        <w:rPr>
          <w:rFonts w:ascii="Calibri" w:hAnsi="Calibri"/>
          <w:i/>
          <w:color w:val="525866"/>
          <w:sz w:val="22"/>
        </w:rPr>
        <w:t xml:space="preserve">Expected to close in Q2 2026 (per Q1 call). Contributed ~$10M cash gross profit in Q1. Proceeds to be redeployed into aggregates bolt-on acquisitions and greenfield expansion. Implication: </w:t>
      </w:r>
      <w:r>
        <w:rPr>
          <w:rFonts w:ascii="Calibri" w:hAnsi="Calibri"/>
          <w:i/>
          <w:color w:val="525866"/>
          <w:sz w:val="22"/>
        </w:rPr>
        <w:t>Removes ~$10M quarterly downstream earnings contribution but sharpens aggregates-led portfolio focus. Greenfield plants in Arizona, Texas, and South Carolina plus seven new rail distribution yards expected online in 2026.</w:t>
      </w:r>
    </w:p>
    <w:p>
      <w:pPr>
        <w:pStyle w:val="ListBullet"/>
        <w:ind w:left="360" w:hanging="360"/>
      </w:pPr>
      <w:r>
        <w:rPr>
          <w:rFonts w:ascii="Calibri" w:hAnsi="Calibri"/>
          <w:b/>
          <w:color w:val="525866"/>
          <w:sz w:val="22"/>
        </w:rPr>
        <w:t xml:space="preserve">Ongoing — Diesel Cost Environment: </w:t>
      </w:r>
      <w:r>
        <w:rPr>
          <w:rFonts w:ascii="Calibri" w:hAnsi="Calibri"/>
          <w:i/>
          <w:color w:val="525866"/>
          <w:sz w:val="22"/>
        </w:rPr>
        <w:t xml:space="preserve">Retail diesel prices remain elevated (~$2 higher than start of year per Q1 call). VMC burns ~57M gallons annually. Mid-year price increases announced across all markets. Implication: </w:t>
      </w:r>
      <w:r>
        <w:rPr>
          <w:rFonts w:ascii="Calibri" w:hAnsi="Calibri"/>
          <w:i/>
          <w:color w:val="525866"/>
          <w:sz w:val="22"/>
        </w:rPr>
        <w:t>Q2 is the peak headwind quarter (~$25M drag); H2 expected to benefit from pricing actions and potential diesel moderation. Management has planned for diesel to remain elevated in full-year guidance.</w:t>
      </w:r>
    </w:p>
    <w:p>
      <w:pPr>
        <w:pStyle w:val="ListBullet"/>
        <w:ind w:left="360" w:hanging="360"/>
      </w:pPr>
      <w:r>
        <w:rPr>
          <w:rFonts w:ascii="Calibri" w:hAnsi="Calibri"/>
          <w:b/>
          <w:color w:val="525866"/>
          <w:sz w:val="22"/>
        </w:rPr>
        <w:t xml:space="preserve">Ongoing — Federal Highway Reauthorization: </w:t>
      </w:r>
      <w:r>
        <w:rPr>
          <w:rFonts w:ascii="Calibri" w:hAnsi="Calibri"/>
          <w:i/>
          <w:color w:val="525866"/>
          <w:sz w:val="22"/>
        </w:rPr>
        <w:t xml:space="preserve">IIJA expires September 30, 2026. Congress targeting a 5-year successor bill with bipartisan support; House targeting May markup with ~$550B in numbers; Senate expected to come in higher. ~50% of IIJA highway funds remain undistributed. Implication: </w:t>
      </w:r>
      <w:r>
        <w:rPr>
          <w:rFonts w:ascii="Calibri" w:hAnsi="Calibri"/>
          <w:i/>
          <w:color w:val="525866"/>
          <w:sz w:val="22"/>
        </w:rPr>
        <w:t>Multi-year positive for VMC's public infrastructure volumes regardless of timing; a continuing resolution would not disrupt 2026 construction activity.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insiders since the Q1 2026 earnings date. All transactions in the period are equity compensation awards (RSUs, phantom stock, restricted stock unit vesting) — routine, non-discretionary, and carry no directional signal. The absence of open-market buying at current depressed prices (~$280–$285) is notable but not alarming given the compensation-driven nature of all activity.</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Security</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Carlisle, Mary Andrews</w:t>
            </w:r>
          </w:p>
        </w:tc>
        <w:tc>
          <w:tcPr>
            <w:tcW w:type="dxa" w:w="1234"/>
          </w:tcPr>
          <w:p>
            <w:r>
              <w:rPr>
                <w:rFonts w:ascii="Calibri" w:hAnsi="Calibri"/>
                <w:sz w:val="22"/>
              </w:rPr>
              <w:t>SVP and CFO</w:t>
            </w:r>
          </w:p>
        </w:tc>
        <w:tc>
          <w:tcPr>
            <w:tcW w:type="dxa" w:w="1234"/>
          </w:tcPr>
          <w:p>
            <w:r>
              <w:rPr>
                <w:rFonts w:ascii="Calibri" w:hAnsi="Calibri"/>
                <w:sz w:val="22"/>
              </w:rPr>
              <w:t>RSU Award (A)</w:t>
            </w:r>
          </w:p>
        </w:tc>
        <w:tc>
          <w:tcPr>
            <w:tcW w:type="dxa" w:w="1234"/>
          </w:tcPr>
          <w:p>
            <w:r>
              <w:rPr>
                <w:rFonts w:ascii="Calibri" w:hAnsi="Calibri"/>
                <w:sz w:val="22"/>
              </w:rPr>
              <w:t>Restricted Stock Units</w:t>
            </w:r>
          </w:p>
        </w:tc>
        <w:tc>
          <w:tcPr>
            <w:tcW w:type="dxa" w:w="1234"/>
          </w:tcPr>
          <w:p>
            <w:r>
              <w:rPr>
                <w:rFonts w:ascii="Calibri" w:hAnsi="Calibri"/>
                <w:sz w:val="22"/>
              </w:rPr>
              <w:t>5,243</w:t>
            </w:r>
          </w:p>
        </w:tc>
        <w:tc>
          <w:tcPr>
            <w:tcW w:type="dxa" w:w="1234"/>
          </w:tcPr>
          <w:p>
            <w:r>
              <w:rPr>
                <w:rFonts w:ascii="Calibri" w:hAnsi="Calibri"/>
                <w:sz w:val="22"/>
              </w:rPr>
              <w:t>Jul 13, 2026</w:t>
            </w:r>
          </w:p>
        </w:tc>
        <w:tc>
          <w:tcPr>
            <w:tcW w:type="dxa" w:w="1234"/>
          </w:tcPr>
          <w:p>
            <w:r>
              <w:rPr>
                <w:rFonts w:ascii="Calibri" w:hAnsi="Calibri"/>
                <w:sz w:val="22"/>
              </w:rPr>
              <w:t>Routine annual equity compensation grant; non-discretionary.</w:t>
            </w:r>
          </w:p>
        </w:tc>
      </w:tr>
      <w:tr>
        <w:tc>
          <w:tcPr>
            <w:tcW w:type="dxa" w:w="1234"/>
          </w:tcPr>
          <w:p>
            <w:r>
              <w:rPr>
                <w:rFonts w:ascii="Calibri" w:hAnsi="Calibri"/>
                <w:sz w:val="22"/>
              </w:rPr>
              <w:t>Hall, Grayson</w:t>
            </w:r>
          </w:p>
        </w:tc>
        <w:tc>
          <w:tcPr>
            <w:tcW w:type="dxa" w:w="1234"/>
          </w:tcPr>
          <w:p>
            <w:r>
              <w:rPr>
                <w:rFonts w:ascii="Calibri" w:hAnsi="Calibri"/>
                <w:sz w:val="22"/>
              </w:rPr>
              <w:t>Director</w:t>
            </w:r>
          </w:p>
        </w:tc>
        <w:tc>
          <w:tcPr>
            <w:tcW w:type="dxa" w:w="1234"/>
          </w:tcPr>
          <w:p>
            <w:r>
              <w:rPr>
                <w:rFonts w:ascii="Calibri" w:hAnsi="Calibri"/>
                <w:sz w:val="22"/>
              </w:rPr>
              <w:t>RSU Vest / Common Stock Acquisition (M)</w:t>
            </w:r>
          </w:p>
        </w:tc>
        <w:tc>
          <w:tcPr>
            <w:tcW w:type="dxa" w:w="1234"/>
          </w:tcPr>
          <w:p>
            <w:r>
              <w:rPr>
                <w:rFonts w:ascii="Calibri" w:hAnsi="Calibri"/>
                <w:sz w:val="22"/>
              </w:rPr>
              <w:t>Common Stock (from RSU)</w:t>
            </w:r>
          </w:p>
        </w:tc>
        <w:tc>
          <w:tcPr>
            <w:tcW w:type="dxa" w:w="1234"/>
          </w:tcPr>
          <w:p>
            <w:r>
              <w:rPr>
                <w:rFonts w:ascii="Calibri" w:hAnsi="Calibri"/>
                <w:sz w:val="22"/>
              </w:rPr>
              <w:t>655</w:t>
            </w:r>
          </w:p>
        </w:tc>
        <w:tc>
          <w:tcPr>
            <w:tcW w:type="dxa" w:w="1234"/>
          </w:tcPr>
          <w:p>
            <w:r>
              <w:rPr>
                <w:rFonts w:ascii="Calibri" w:hAnsi="Calibri"/>
                <w:sz w:val="22"/>
              </w:rPr>
              <w:t>Jun 12, 2026</w:t>
            </w:r>
          </w:p>
        </w:tc>
        <w:tc>
          <w:tcPr>
            <w:tcW w:type="dxa" w:w="1234"/>
          </w:tcPr>
          <w:p>
            <w:r>
              <w:rPr>
                <w:rFonts w:ascii="Calibri" w:hAnsi="Calibri"/>
                <w:sz w:val="22"/>
              </w:rPr>
              <w:t>RSU vesting — routine director compensation; non-discretionary.</w:t>
            </w:r>
          </w:p>
        </w:tc>
      </w:tr>
      <w:tr>
        <w:tc>
          <w:tcPr>
            <w:tcW w:type="dxa" w:w="1234"/>
          </w:tcPr>
          <w:p>
            <w:r>
              <w:rPr>
                <w:rFonts w:ascii="Calibri" w:hAnsi="Calibri"/>
                <w:sz w:val="22"/>
              </w:rPr>
              <w:t>Kennard, Lydia H.</w:t>
            </w:r>
          </w:p>
        </w:tc>
        <w:tc>
          <w:tcPr>
            <w:tcW w:type="dxa" w:w="1234"/>
          </w:tcPr>
          <w:p>
            <w:r>
              <w:rPr>
                <w:rFonts w:ascii="Calibri" w:hAnsi="Calibri"/>
                <w:sz w:val="22"/>
              </w:rPr>
              <w:t>Director</w:t>
            </w:r>
          </w:p>
        </w:tc>
        <w:tc>
          <w:tcPr>
            <w:tcW w:type="dxa" w:w="1234"/>
          </w:tcPr>
          <w:p>
            <w:r>
              <w:rPr>
                <w:rFonts w:ascii="Calibri" w:hAnsi="Calibri"/>
                <w:sz w:val="22"/>
              </w:rPr>
              <w:t>RSU Vest / Common Stock Acquisition (M)</w:t>
            </w:r>
          </w:p>
        </w:tc>
        <w:tc>
          <w:tcPr>
            <w:tcW w:type="dxa" w:w="1234"/>
          </w:tcPr>
          <w:p>
            <w:r>
              <w:rPr>
                <w:rFonts w:ascii="Calibri" w:hAnsi="Calibri"/>
                <w:sz w:val="22"/>
              </w:rPr>
              <w:t>Common Stock (from RSU)</w:t>
            </w:r>
          </w:p>
        </w:tc>
        <w:tc>
          <w:tcPr>
            <w:tcW w:type="dxa" w:w="1234"/>
          </w:tcPr>
          <w:p>
            <w:r>
              <w:rPr>
                <w:rFonts w:ascii="Calibri" w:hAnsi="Calibri"/>
                <w:sz w:val="22"/>
              </w:rPr>
              <w:t>655</w:t>
            </w:r>
          </w:p>
        </w:tc>
        <w:tc>
          <w:tcPr>
            <w:tcW w:type="dxa" w:w="1234"/>
          </w:tcPr>
          <w:p>
            <w:r>
              <w:rPr>
                <w:rFonts w:ascii="Calibri" w:hAnsi="Calibri"/>
                <w:sz w:val="22"/>
              </w:rPr>
              <w:t>Jun 12, 2026</w:t>
            </w:r>
          </w:p>
        </w:tc>
        <w:tc>
          <w:tcPr>
            <w:tcW w:type="dxa" w:w="1234"/>
          </w:tcPr>
          <w:p>
            <w:r>
              <w:rPr>
                <w:rFonts w:ascii="Calibri" w:hAnsi="Calibri"/>
                <w:sz w:val="22"/>
              </w:rPr>
              <w:t>RSU vesting — routine director compensation; non-discretionary.</w:t>
            </w:r>
          </w:p>
        </w:tc>
      </w:tr>
      <w:tr>
        <w:tc>
          <w:tcPr>
            <w:tcW w:type="dxa" w:w="1234"/>
          </w:tcPr>
          <w:p>
            <w:r>
              <w:rPr>
                <w:rFonts w:ascii="Calibri" w:hAnsi="Calibri"/>
                <w:sz w:val="22"/>
              </w:rPr>
              <w:t>Anderson, Melissa H.</w:t>
            </w:r>
          </w:p>
        </w:tc>
        <w:tc>
          <w:tcPr>
            <w:tcW w:type="dxa" w:w="1234"/>
          </w:tcPr>
          <w:p>
            <w:r>
              <w:rPr>
                <w:rFonts w:ascii="Calibri" w:hAnsi="Calibri"/>
                <w:sz w:val="22"/>
              </w:rPr>
              <w:t>Director</w:t>
            </w:r>
          </w:p>
        </w:tc>
        <w:tc>
          <w:tcPr>
            <w:tcW w:type="dxa" w:w="1234"/>
          </w:tcPr>
          <w:p>
            <w:r>
              <w:rPr>
                <w:rFonts w:ascii="Calibri" w:hAnsi="Calibri"/>
                <w:sz w:val="22"/>
              </w:rPr>
              <w:t>Phantom Stock Award (A)</w:t>
            </w:r>
          </w:p>
        </w:tc>
        <w:tc>
          <w:tcPr>
            <w:tcW w:type="dxa" w:w="1234"/>
          </w:tcPr>
          <w:p>
            <w:r>
              <w:rPr>
                <w:rFonts w:ascii="Calibri" w:hAnsi="Calibri"/>
                <w:sz w:val="22"/>
              </w:rPr>
              <w:t>Phantom Stock (Deferred Comp)</w:t>
            </w:r>
          </w:p>
        </w:tc>
        <w:tc>
          <w:tcPr>
            <w:tcW w:type="dxa" w:w="1234"/>
          </w:tcPr>
          <w:p>
            <w:r>
              <w:rPr>
                <w:rFonts w:ascii="Calibri" w:hAnsi="Calibri"/>
                <w:sz w:val="22"/>
              </w:rPr>
              <w:t>228</w:t>
            </w:r>
          </w:p>
        </w:tc>
        <w:tc>
          <w:tcPr>
            <w:tcW w:type="dxa" w:w="1234"/>
          </w:tcPr>
          <w:p>
            <w:r>
              <w:rPr>
                <w:rFonts w:ascii="Calibri" w:hAnsi="Calibri"/>
                <w:sz w:val="22"/>
              </w:rPr>
              <w:t>Jun 12, 2026</w:t>
            </w:r>
          </w:p>
        </w:tc>
        <w:tc>
          <w:tcPr>
            <w:tcW w:type="dxa" w:w="1234"/>
          </w:tcPr>
          <w:p>
            <w:r>
              <w:rPr>
                <w:rFonts w:ascii="Calibri" w:hAnsi="Calibri"/>
                <w:sz w:val="22"/>
              </w:rPr>
              <w:t>Deferred compensation plan — routine; non-discretionary.</w:t>
            </w:r>
          </w:p>
        </w:tc>
      </w:tr>
      <w:tr>
        <w:tc>
          <w:tcPr>
            <w:tcW w:type="dxa" w:w="1234"/>
          </w:tcPr>
          <w:p>
            <w:r>
              <w:rPr>
                <w:rFonts w:ascii="Calibri" w:hAnsi="Calibri"/>
                <w:sz w:val="22"/>
              </w:rPr>
              <w:t>Fanning, Thomas A.</w:t>
            </w:r>
          </w:p>
        </w:tc>
        <w:tc>
          <w:tcPr>
            <w:tcW w:type="dxa" w:w="1234"/>
          </w:tcPr>
          <w:p>
            <w:r>
              <w:rPr>
                <w:rFonts w:ascii="Calibri" w:hAnsi="Calibri"/>
                <w:sz w:val="22"/>
              </w:rPr>
              <w:t>Director</w:t>
            </w:r>
          </w:p>
        </w:tc>
        <w:tc>
          <w:tcPr>
            <w:tcW w:type="dxa" w:w="1234"/>
          </w:tcPr>
          <w:p>
            <w:r>
              <w:rPr>
                <w:rFonts w:ascii="Calibri" w:hAnsi="Calibri"/>
                <w:sz w:val="22"/>
              </w:rPr>
              <w:t>Phantom Stock Award (A)</w:t>
            </w:r>
          </w:p>
        </w:tc>
        <w:tc>
          <w:tcPr>
            <w:tcW w:type="dxa" w:w="1234"/>
          </w:tcPr>
          <w:p>
            <w:r>
              <w:rPr>
                <w:rFonts w:ascii="Calibri" w:hAnsi="Calibri"/>
                <w:sz w:val="22"/>
              </w:rPr>
              <w:t>Phantom Stock (Deferred Comp)</w:t>
            </w:r>
          </w:p>
        </w:tc>
        <w:tc>
          <w:tcPr>
            <w:tcW w:type="dxa" w:w="1234"/>
          </w:tcPr>
          <w:p>
            <w:r>
              <w:rPr>
                <w:rFonts w:ascii="Calibri" w:hAnsi="Calibri"/>
                <w:sz w:val="22"/>
              </w:rPr>
              <w:t>301</w:t>
            </w:r>
          </w:p>
        </w:tc>
        <w:tc>
          <w:tcPr>
            <w:tcW w:type="dxa" w:w="1234"/>
          </w:tcPr>
          <w:p>
            <w:r>
              <w:rPr>
                <w:rFonts w:ascii="Calibri" w:hAnsi="Calibri"/>
                <w:sz w:val="22"/>
              </w:rPr>
              <w:t>Jun 12, 2026</w:t>
            </w:r>
          </w:p>
        </w:tc>
        <w:tc>
          <w:tcPr>
            <w:tcW w:type="dxa" w:w="1234"/>
          </w:tcPr>
          <w:p>
            <w:r>
              <w:rPr>
                <w:rFonts w:ascii="Calibri" w:hAnsi="Calibri"/>
                <w:sz w:val="22"/>
              </w:rPr>
              <w:t>Deferred compensation plan — routine; non-discretionary.</w:t>
            </w:r>
          </w:p>
        </w:tc>
      </w:tr>
      <w:tr>
        <w:tc>
          <w:tcPr>
            <w:tcW w:type="dxa" w:w="1234"/>
          </w:tcPr>
          <w:p>
            <w:r>
              <w:rPr>
                <w:rFonts w:ascii="Calibri" w:hAnsi="Calibri"/>
                <w:sz w:val="22"/>
              </w:rPr>
              <w:t>Quirk, Kathleen L.</w:t>
            </w:r>
          </w:p>
        </w:tc>
        <w:tc>
          <w:tcPr>
            <w:tcW w:type="dxa" w:w="1234"/>
          </w:tcPr>
          <w:p>
            <w:r>
              <w:rPr>
                <w:rFonts w:ascii="Calibri" w:hAnsi="Calibri"/>
                <w:sz w:val="22"/>
              </w:rPr>
              <w:t>Director</w:t>
            </w:r>
          </w:p>
        </w:tc>
        <w:tc>
          <w:tcPr>
            <w:tcW w:type="dxa" w:w="1234"/>
          </w:tcPr>
          <w:p>
            <w:r>
              <w:rPr>
                <w:rFonts w:ascii="Calibri" w:hAnsi="Calibri"/>
                <w:sz w:val="22"/>
              </w:rPr>
              <w:t>Phantom Stock Award (A)</w:t>
            </w:r>
          </w:p>
        </w:tc>
        <w:tc>
          <w:tcPr>
            <w:tcW w:type="dxa" w:w="1234"/>
          </w:tcPr>
          <w:p>
            <w:r>
              <w:rPr>
                <w:rFonts w:ascii="Calibri" w:hAnsi="Calibri"/>
                <w:sz w:val="22"/>
              </w:rPr>
              <w:t>320</w:t>
            </w:r>
          </w:p>
        </w:tc>
        <w:tc>
          <w:tcPr>
            <w:tcW w:type="dxa" w:w="1234"/>
          </w:tcPr>
          <w:p>
            <w:r>
              <w:rPr>
                <w:rFonts w:ascii="Calibri" w:hAnsi="Calibri"/>
                <w:sz w:val="22"/>
              </w:rPr>
              <w:t>Jun 12, 2026</w:t>
            </w:r>
          </w:p>
        </w:tc>
        <w:tc>
          <w:tcPr>
            <w:tcW w:type="dxa" w:w="1234"/>
          </w:tcPr>
          <w:p>
            <w:r>
              <w:rPr>
                <w:rFonts w:ascii="Calibri" w:hAnsi="Calibri"/>
                <w:sz w:val="22"/>
              </w:rPr>
              <w:t>Deferred compensation plan — routine; non-discretionary.</w:t>
            </w:r>
          </w:p>
        </w:tc>
        <w:tc>
          <w:tcPr>
            <w:tcW w:type="dxa" w:w="1234"/>
          </w:tcPr>
          <w:p/>
        </w:tc>
      </w:tr>
      <w:tr>
        <w:tc>
          <w:tcPr>
            <w:tcW w:type="dxa" w:w="1234"/>
          </w:tcPr>
          <w:p>
            <w:r>
              <w:rPr>
                <w:rFonts w:ascii="Calibri" w:hAnsi="Calibri"/>
                <w:sz w:val="22"/>
              </w:rPr>
              <w:t>Steiner, David P.</w:t>
            </w:r>
          </w:p>
        </w:tc>
        <w:tc>
          <w:tcPr>
            <w:tcW w:type="dxa" w:w="1234"/>
          </w:tcPr>
          <w:p>
            <w:r>
              <w:rPr>
                <w:rFonts w:ascii="Calibri" w:hAnsi="Calibri"/>
                <w:sz w:val="22"/>
              </w:rPr>
              <w:t>Director</w:t>
            </w:r>
          </w:p>
        </w:tc>
        <w:tc>
          <w:tcPr>
            <w:tcW w:type="dxa" w:w="1234"/>
          </w:tcPr>
          <w:p>
            <w:r>
              <w:rPr>
                <w:rFonts w:ascii="Calibri" w:hAnsi="Calibri"/>
                <w:sz w:val="22"/>
              </w:rPr>
              <w:t>Phantom Stock Award (A)</w:t>
            </w:r>
          </w:p>
        </w:tc>
        <w:tc>
          <w:tcPr>
            <w:tcW w:type="dxa" w:w="1234"/>
          </w:tcPr>
          <w:p>
            <w:r>
              <w:rPr>
                <w:rFonts w:ascii="Calibri" w:hAnsi="Calibri"/>
                <w:sz w:val="22"/>
              </w:rPr>
              <w:t>301</w:t>
            </w:r>
          </w:p>
        </w:tc>
        <w:tc>
          <w:tcPr>
            <w:tcW w:type="dxa" w:w="1234"/>
          </w:tcPr>
          <w:p>
            <w:r>
              <w:rPr>
                <w:rFonts w:ascii="Calibri" w:hAnsi="Calibri"/>
                <w:sz w:val="22"/>
              </w:rPr>
              <w:t>Jun 12, 2026</w:t>
            </w:r>
          </w:p>
        </w:tc>
        <w:tc>
          <w:tcPr>
            <w:tcW w:type="dxa" w:w="1234"/>
          </w:tcPr>
          <w:p>
            <w:r>
              <w:rPr>
                <w:rFonts w:ascii="Calibri" w:hAnsi="Calibri"/>
                <w:sz w:val="22"/>
              </w:rPr>
              <w:t>Deferred compensation plan — routine; non-discretionary.</w:t>
            </w:r>
          </w:p>
        </w:tc>
        <w:tc>
          <w:tcPr>
            <w:tcW w:type="dxa" w:w="1234"/>
          </w:tcPr>
          <w:p/>
        </w:tc>
      </w:tr>
      <w:tr>
        <w:tc>
          <w:tcPr>
            <w:tcW w:type="dxa" w:w="1234"/>
          </w:tcPr>
          <w:p>
            <w:r>
              <w:rPr>
                <w:rFonts w:ascii="Calibri" w:hAnsi="Calibri"/>
                <w:sz w:val="22"/>
              </w:rPr>
              <w:t>Styslinger, Lee J. III</w:t>
            </w:r>
          </w:p>
        </w:tc>
        <w:tc>
          <w:tcPr>
            <w:tcW w:type="dxa" w:w="1234"/>
          </w:tcPr>
          <w:p>
            <w:r>
              <w:rPr>
                <w:rFonts w:ascii="Calibri" w:hAnsi="Calibri"/>
                <w:sz w:val="22"/>
              </w:rPr>
              <w:t>Director</w:t>
            </w:r>
          </w:p>
        </w:tc>
        <w:tc>
          <w:tcPr>
            <w:tcW w:type="dxa" w:w="1234"/>
          </w:tcPr>
          <w:p>
            <w:r>
              <w:rPr>
                <w:rFonts w:ascii="Calibri" w:hAnsi="Calibri"/>
                <w:sz w:val="22"/>
              </w:rPr>
              <w:t>Phantom Stock Award (A)</w:t>
            </w:r>
          </w:p>
        </w:tc>
        <w:tc>
          <w:tcPr>
            <w:tcW w:type="dxa" w:w="1234"/>
          </w:tcPr>
          <w:p>
            <w:r>
              <w:rPr>
                <w:rFonts w:ascii="Calibri" w:hAnsi="Calibri"/>
                <w:sz w:val="22"/>
              </w:rPr>
              <w:t>228</w:t>
            </w:r>
          </w:p>
        </w:tc>
        <w:tc>
          <w:tcPr>
            <w:tcW w:type="dxa" w:w="1234"/>
          </w:tcPr>
          <w:p>
            <w:r>
              <w:rPr>
                <w:rFonts w:ascii="Calibri" w:hAnsi="Calibri"/>
                <w:sz w:val="22"/>
              </w:rPr>
              <w:t>Jun 12, 2026</w:t>
            </w:r>
          </w:p>
        </w:tc>
        <w:tc>
          <w:tcPr>
            <w:tcW w:type="dxa" w:w="1234"/>
          </w:tcPr>
          <w:p>
            <w:r>
              <w:rPr>
                <w:rFonts w:ascii="Calibri" w:hAnsi="Calibri"/>
                <w:sz w:val="22"/>
              </w:rPr>
              <w:t>Deferred compensation plan — routine; non-discretionary.</w:t>
            </w:r>
          </w:p>
        </w:tc>
        <w:tc>
          <w:tcPr>
            <w:tcW w:type="dxa" w:w="1234"/>
          </w:tcPr>
          <w:p/>
        </w:tc>
      </w:tr>
      <w:tr>
        <w:tc>
          <w:tcPr>
            <w:tcW w:type="dxa" w:w="1234"/>
          </w:tcPr>
          <w:p>
            <w:r>
              <w:rPr>
                <w:rFonts w:ascii="Calibri" w:hAnsi="Calibri"/>
                <w:sz w:val="22"/>
              </w:rPr>
              <w:t>Shah, Mitesh Bansilal</w:t>
            </w:r>
          </w:p>
        </w:tc>
        <w:tc>
          <w:tcPr>
            <w:tcW w:type="dxa" w:w="1234"/>
          </w:tcPr>
          <w:p>
            <w:r>
              <w:rPr>
                <w:rFonts w:ascii="Calibri" w:hAnsi="Calibri"/>
                <w:sz w:val="22"/>
              </w:rPr>
              <w:t>SVP and CHRO</w:t>
            </w:r>
          </w:p>
        </w:tc>
        <w:tc>
          <w:tcPr>
            <w:tcW w:type="dxa" w:w="1234"/>
          </w:tcPr>
          <w:p>
            <w:r>
              <w:rPr>
                <w:rFonts w:ascii="Calibri" w:hAnsi="Calibri"/>
                <w:sz w:val="22"/>
              </w:rPr>
              <w:t>RSU Award (A)</w:t>
            </w:r>
          </w:p>
        </w:tc>
        <w:tc>
          <w:tcPr>
            <w:tcW w:type="dxa" w:w="1234"/>
          </w:tcPr>
          <w:p>
            <w:r>
              <w:rPr>
                <w:rFonts w:ascii="Calibri" w:hAnsi="Calibri"/>
                <w:sz w:val="22"/>
              </w:rPr>
              <w:t>Restricted Stock Units</w:t>
            </w:r>
          </w:p>
        </w:tc>
        <w:tc>
          <w:tcPr>
            <w:tcW w:type="dxa" w:w="1234"/>
          </w:tcPr>
          <w:p>
            <w:r>
              <w:rPr>
                <w:rFonts w:ascii="Calibri" w:hAnsi="Calibri"/>
                <w:sz w:val="22"/>
              </w:rPr>
              <w:t>3,607</w:t>
            </w:r>
          </w:p>
        </w:tc>
        <w:tc>
          <w:tcPr>
            <w:tcW w:type="dxa" w:w="1234"/>
          </w:tcPr>
          <w:p>
            <w:r>
              <w:rPr>
                <w:rFonts w:ascii="Calibri" w:hAnsi="Calibri"/>
                <w:sz w:val="22"/>
              </w:rPr>
              <w:t>May 8, 2026</w:t>
            </w:r>
          </w:p>
        </w:tc>
        <w:tc>
          <w:tcPr>
            <w:tcW w:type="dxa" w:w="1234"/>
          </w:tcPr>
          <w:p>
            <w:r>
              <w:rPr>
                <w:rFonts w:ascii="Calibri" w:hAnsi="Calibri"/>
                <w:sz w:val="22"/>
              </w:rPr>
              <w:t>Annual equity compensation grant; non-discretionary.</w:t>
            </w:r>
          </w:p>
        </w:tc>
      </w:tr>
      <w:tr>
        <w:tc>
          <w:tcPr>
            <w:tcW w:type="dxa" w:w="1234"/>
          </w:tcPr>
          <w:p>
            <w:r>
              <w:rPr>
                <w:rFonts w:ascii="Calibri" w:hAnsi="Calibri"/>
                <w:sz w:val="22"/>
              </w:rPr>
              <w:t>Multiple Directors (8)</w:t>
            </w:r>
          </w:p>
        </w:tc>
        <w:tc>
          <w:tcPr>
            <w:tcW w:type="dxa" w:w="1234"/>
          </w:tcPr>
          <w:p>
            <w:r>
              <w:rPr>
                <w:rFonts w:ascii="Calibri" w:hAnsi="Calibri"/>
                <w:sz w:val="22"/>
              </w:rPr>
              <w:t>Directors</w:t>
            </w:r>
          </w:p>
        </w:tc>
        <w:tc>
          <w:tcPr>
            <w:tcW w:type="dxa" w:w="1234"/>
          </w:tcPr>
          <w:p>
            <w:r>
              <w:rPr>
                <w:rFonts w:ascii="Calibri" w:hAnsi="Calibri"/>
                <w:sz w:val="22"/>
              </w:rPr>
              <w:t>RSU Award (A)</w:t>
            </w:r>
          </w:p>
        </w:tc>
        <w:tc>
          <w:tcPr>
            <w:tcW w:type="dxa" w:w="1234"/>
          </w:tcPr>
          <w:p>
            <w:r>
              <w:rPr>
                <w:rFonts w:ascii="Calibri" w:hAnsi="Calibri"/>
                <w:sz w:val="22"/>
              </w:rPr>
              <w:t>Restricted Stock Units</w:t>
            </w:r>
          </w:p>
        </w:tc>
        <w:tc>
          <w:tcPr>
            <w:tcW w:type="dxa" w:w="1234"/>
          </w:tcPr>
          <w:p>
            <w:r>
              <w:rPr>
                <w:rFonts w:ascii="Calibri" w:hAnsi="Calibri"/>
                <w:sz w:val="22"/>
              </w:rPr>
              <w:t>617 each</w:t>
            </w:r>
          </w:p>
        </w:tc>
        <w:tc>
          <w:tcPr>
            <w:tcW w:type="dxa" w:w="1234"/>
          </w:tcPr>
          <w:p>
            <w:r>
              <w:rPr>
                <w:rFonts w:ascii="Calibri" w:hAnsi="Calibri"/>
                <w:sz w:val="22"/>
              </w:rPr>
              <w:t>May 8, 2026</w:t>
            </w:r>
          </w:p>
        </w:tc>
        <w:tc>
          <w:tcPr>
            <w:tcW w:type="dxa" w:w="1234"/>
          </w:tcPr>
          <w:p>
            <w:r>
              <w:rPr>
                <w:rFonts w:ascii="Calibri" w:hAnsi="Calibri"/>
                <w:sz w:val="22"/>
              </w:rPr>
              <w:t>Annual director equity compensation grants; non-discretionary. Directors: Anderson, Fanning, Hall, Hostetler, Kennard, O'Brien, Prokopanko, Quirk, Steiner, Styslinger, Willis.</w:t>
            </w:r>
          </w:p>
        </w:tc>
      </w:tr>
    </w:tbl>
    <w:p>
      <w:r>
        <w:rPr>
          <w:rFonts w:ascii="Calibri" w:hAnsi="Calibri"/>
          <w:i/>
          <w:color w:val="525866"/>
          <w:sz w:val="22"/>
        </w:rPr>
        <w:t>All transactions in the period are equity compensation awards (RSU grants, phantom stock deferred compensation, and RSU vestings) — none are open-market purchases (Form 4 code P) or discretionary sales (Form 4 code S). No 10b5-1 plan initiations or terminations were filed. The absence of open-market buying by executives or directors at current price levels (~$280–$285) is not a negative signal given the compensation-driven nature of all activity, but it is also not a positive catalyst.</w:t>
      </w:r>
    </w:p>
    <w:p>
      <w:r>
        <w:rPr>
          <w:rFonts w:ascii="Calibri" w:hAnsi="Calibri"/>
          <w:i/>
          <w:color w:val="525866"/>
          <w:sz w:val="22"/>
        </w:rPr>
        <w:t>Source: SEC Form 4 Filings Database (filing date window: April 29 – July 28,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