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Vulcan Materials Company (VMC)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Vulcan Materials Company</w:t>
            </w:r>
          </w:p>
        </w:tc>
      </w:tr>
      <w:tr>
        <w:tc>
          <w:tcPr>
            <w:tcW w:type="dxa" w:w="4320"/>
          </w:tcPr>
          <w:p>
            <w:r>
              <w:rPr>
                <w:rFonts w:ascii="Calibri" w:hAnsi="Calibri"/>
                <w:b/>
                <w:sz w:val="22"/>
              </w:rPr>
              <w:t>Ticker</w:t>
            </w:r>
          </w:p>
        </w:tc>
        <w:tc>
          <w:tcPr>
            <w:tcW w:type="dxa" w:w="4320"/>
          </w:tcPr>
          <w:p>
            <w:r>
              <w:rPr>
                <w:rFonts w:ascii="Calibri" w:hAnsi="Calibri"/>
                <w:sz w:val="22"/>
              </w:rPr>
              <w:t>VMC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Earnings Call at 9:00 a.m. CT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ETF Benchmark</w:t>
            </w:r>
          </w:p>
        </w:tc>
        <w:tc>
          <w:tcPr>
            <w:tcW w:type="dxa" w:w="4320"/>
          </w:tcPr>
          <w:p>
            <w:r>
              <w:rPr>
                <w:rFonts w:ascii="Calibri" w:hAnsi="Calibri"/>
                <w:sz w:val="22"/>
              </w:rPr>
              <w:t>Materials — XLB (Materials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a moderate beat, with the primary swing factor being whether mid-year price increases and Vulcan Way of Operating efficiencies can offset the ~$25M diesel headwind management flagged for Q2 — consensus already embeds some of this pain, leaving the bar achievable but not low.</w:t>
      </w:r>
      <w:r>
        <w:rPr>
          <w:rFonts w:ascii="Calibri" w:hAnsi="Calibri"/>
          <w:color w:val="525866"/>
          <w:sz w:val="22"/>
        </w:rPr>
        <w:t xml:space="preserve"> The wildcard is the NAFTA arbitration outcome (announced July 27), which delivered a negligible ~$15M award vs. $1.7B sought — a non-event for the core business but a potential distraction heading into the call.</w:t>
      </w:r>
    </w:p>
    <w:p>
      <w:r>
        <w:rPr>
          <w:rFonts w:ascii="Calibri" w:hAnsi="Calibri"/>
          <w:color w:val="525866"/>
          <w:sz w:val="22"/>
        </w:rPr>
        <w:t xml:space="preserve">Heading into Q2 2026, Vulcan's setup is constructive but not without near-term friction. </w:t>
      </w:r>
      <w:r>
        <w:rPr>
          <w:rFonts w:ascii="Calibri" w:hAnsi="Calibri"/>
          <w:b/>
          <w:color w:val="525866"/>
          <w:sz w:val="22"/>
        </w:rPr>
        <w:t>Consensus EBITDA of ~$645M implies roughly 10% year-over-year growth</w:t>
      </w:r>
      <w:r>
        <w:rPr>
          <w:rFonts w:ascii="Calibri" w:hAnsi="Calibri"/>
          <w:color w:val="525866"/>
          <w:sz w:val="22"/>
        </w:rPr>
        <w:t xml:space="preserve"> — a bar that is achievable given the strong Q1 momentum (9% EBITDA growth, 5% volume growth) and management's explicit reaffirmation of $2.4–$2.6B full-year guidance. The key tension is diesel: management guided Q2 unit cash costs to run at roughly double the Q1 year-over-year rate (high single digits), with an estimated ~$25M dollar headwind from elevated diesel prices that began spiking in February 2026 following the Iran conflict. Management's tone on the Q1 call was notably confident — they framed diesel as manageable and temporary, highlighted mid-year price increases already announced across all markets, and pointed to surcharges and Vulcan Way of Operating fuel-efficiency levers as offsets — but the market will want to see proof of execution in the Q2 numbers. </w:t>
      </w:r>
    </w:p>
    <w:p>
      <w:r>
        <w:rPr>
          <w:rFonts w:ascii="Calibri" w:hAnsi="Calibri"/>
          <w:b/>
          <w:color w:val="525866"/>
          <w:sz w:val="22"/>
        </w:rPr>
        <w:t>Estimate revisions have drifted modestly lower since Q1 earnings</w:t>
      </w:r>
      <w:r>
        <w:rPr>
          <w:rFonts w:ascii="Calibri" w:hAnsi="Calibri"/>
          <w:color w:val="525866"/>
          <w:sz w:val="22"/>
        </w:rPr>
        <w:t xml:space="preserve"> (Q2 EPS consensus moved from ~$2.62 post-Q1 to ~$2.46 currently), suggesting the Street has already partially de-risked the diesel headwind, which creates a cushion for a beat if pricing and volumes hold. The stock has underperformed XLB by roughly 10 percentage points since the Q1 print, trading down from ~$296 to ~$288 as of July 28, with multiple compression (EV/EBITDA from ~17x to ~15.75x NTM) doing most of the damage — suggesting the stock has not priced in a beat and any positive surprise on pricing or cost control could be a meaningful catalyst. The single biggest wildcard remains the NAFTA arbitration resolution (July 27): the tribunal awarded only ~$15M vs. $1.7B sought, which Vulcan called "insignificant" — this removes a long-running overhang but also eliminates any upside optionality from a large award, and management's tone on the call will be closely watched for any residual impact on Mexico operations or capital allocation plans.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 ~$645M EBITDA and ~$2.46 adjusted EPS for Q2 2026 — with aggregate shipment volume and cash gross profit per ton being the two biggest swing factors. Pricing is the more important variable: if mid-year increases flow through as guided, the print should beat; if diesel costs run hotter than expected, the miss risk is concentrated in unit margins.</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$1,756M</w:t>
            </w:r>
          </w:p>
        </w:tc>
        <w:tc>
          <w:tcPr>
            <w:tcW w:type="dxa" w:w="1234"/>
          </w:tcPr>
          <w:p>
            <w:r>
              <w:rPr>
                <w:rFonts w:ascii="Calibri" w:hAnsi="Calibri"/>
                <w:sz w:val="22"/>
              </w:rPr>
              <w:t>$2,102M</w:t>
            </w:r>
          </w:p>
        </w:tc>
        <w:tc>
          <w:tcPr>
            <w:tcW w:type="dxa" w:w="1234"/>
          </w:tcPr>
          <w:p>
            <w:r>
              <w:rPr>
                <w:rFonts w:ascii="Calibri" w:hAnsi="Calibri"/>
                <w:sz w:val="22"/>
              </w:rPr>
              <w:t>$2,128M</w:t>
            </w:r>
          </w:p>
        </w:tc>
        <w:tc>
          <w:tcPr>
            <w:tcW w:type="dxa" w:w="1234"/>
          </w:tcPr>
          <w:p>
            <w:r>
              <w:rPr>
                <w:rFonts w:ascii="Calibri" w:hAnsi="Calibri"/>
                <w:sz w:val="22"/>
              </w:rPr>
              <w:t>+1.2%</w:t>
            </w:r>
          </w:p>
        </w:tc>
        <w:tc>
          <w:tcPr>
            <w:tcW w:type="dxa" w:w="1234"/>
          </w:tcPr>
          <w:p>
            <w:r>
              <w:rPr>
                <w:rFonts w:ascii="Calibri" w:hAnsi="Calibri"/>
                <w:sz w:val="22"/>
              </w:rPr>
              <w:t>$8,139M (consensus FY)</w:t>
            </w:r>
          </w:p>
        </w:tc>
        <w:tc>
          <w:tcPr>
            <w:tcW w:type="dxa" w:w="1234"/>
          </w:tcPr>
          <w:p>
            <w:r>
              <w:rPr>
                <w:rFonts w:ascii="Calibri" w:hAnsi="Calibri"/>
                <w:sz w:val="22"/>
              </w:rPr>
              <w:t>N/A — no explicit revenue guidance</w:t>
            </w:r>
          </w:p>
        </w:tc>
      </w:tr>
      <w:tr>
        <w:tc>
          <w:tcPr>
            <w:tcW w:type="dxa" w:w="1234"/>
          </w:tcPr>
          <w:p>
            <w:r>
              <w:rPr>
                <w:rFonts w:ascii="Calibri" w:hAnsi="Calibri"/>
                <w:sz w:val="22"/>
              </w:rPr>
              <w:t>Adjusted EBITDA ($M)</w:t>
            </w:r>
          </w:p>
        </w:tc>
        <w:tc>
          <w:tcPr>
            <w:tcW w:type="dxa" w:w="1234"/>
          </w:tcPr>
          <w:p>
            <w:r>
              <w:rPr>
                <w:rFonts w:ascii="Calibri" w:hAnsi="Calibri"/>
                <w:sz w:val="22"/>
              </w:rPr>
              <w:t>$447M (Adj. EBITDA)</w:t>
            </w:r>
          </w:p>
        </w:tc>
        <w:tc>
          <w:tcPr>
            <w:tcW w:type="dxa" w:w="1234"/>
          </w:tcPr>
          <w:p>
            <w:r>
              <w:rPr>
                <w:rFonts w:ascii="Calibri" w:hAnsi="Calibri"/>
                <w:sz w:val="22"/>
              </w:rPr>
              <w:t>$659M</w:t>
            </w:r>
          </w:p>
        </w:tc>
        <w:tc>
          <w:tcPr>
            <w:tcW w:type="dxa" w:w="1234"/>
          </w:tcPr>
          <w:p>
            <w:r>
              <w:rPr>
                <w:rFonts w:ascii="Calibri" w:hAnsi="Calibri"/>
                <w:sz w:val="22"/>
              </w:rPr>
              <w:t>$645M</w:t>
            </w:r>
          </w:p>
        </w:tc>
        <w:tc>
          <w:tcPr>
            <w:tcW w:type="dxa" w:w="1234"/>
          </w:tcPr>
          <w:p>
            <w:r>
              <w:rPr>
                <w:rFonts w:ascii="Calibri" w:hAnsi="Calibri"/>
                <w:sz w:val="22"/>
              </w:rPr>
              <w:t>-2.1%</w:t>
            </w:r>
          </w:p>
        </w:tc>
        <w:tc>
          <w:tcPr>
            <w:tcW w:type="dxa" w:w="1234"/>
          </w:tcPr>
          <w:p>
            <w:r>
              <w:rPr>
                <w:rFonts w:ascii="Calibri" w:hAnsi="Calibri"/>
                <w:sz w:val="22"/>
              </w:rPr>
              <w:t>$2,400–$2,600M ($2,500M mid)</w:t>
            </w:r>
          </w:p>
        </w:tc>
        <w:tc>
          <w:tcPr>
            <w:tcW w:type="dxa" w:w="1234"/>
          </w:tcPr>
          <w:p>
            <w:r>
              <w:rPr>
                <w:rFonts w:ascii="Calibri" w:hAnsi="Calibri"/>
                <w:sz w:val="22"/>
              </w:rPr>
              <w:t>$2,449M FY cons. vs. $2,500M mid = -2.0%</w:t>
            </w:r>
          </w:p>
        </w:tc>
      </w:tr>
      <w:tr>
        <w:tc>
          <w:tcPr>
            <w:tcW w:type="dxa" w:w="1234"/>
          </w:tcPr>
          <w:p>
            <w:r>
              <w:rPr>
                <w:rFonts w:ascii="Calibri" w:hAnsi="Calibri"/>
                <w:sz w:val="22"/>
              </w:rPr>
              <w:t>Adj. EPS — Diluted, Cont. Ops ($)</w:t>
            </w:r>
          </w:p>
        </w:tc>
        <w:tc>
          <w:tcPr>
            <w:tcW w:type="dxa" w:w="1234"/>
          </w:tcPr>
          <w:p>
            <w:r>
              <w:rPr>
                <w:rFonts w:ascii="Calibri" w:hAnsi="Calibri"/>
                <w:sz w:val="22"/>
              </w:rPr>
              <w:t>$1.35</w:t>
            </w:r>
          </w:p>
        </w:tc>
        <w:tc>
          <w:tcPr>
            <w:tcW w:type="dxa" w:w="1234"/>
          </w:tcPr>
          <w:p>
            <w:r>
              <w:rPr>
                <w:rFonts w:ascii="Calibri" w:hAnsi="Calibri"/>
                <w:sz w:val="22"/>
              </w:rPr>
              <w:t>$2.45</w:t>
            </w:r>
          </w:p>
        </w:tc>
        <w:tc>
          <w:tcPr>
            <w:tcW w:type="dxa" w:w="1234"/>
          </w:tcPr>
          <w:p>
            <w:r>
              <w:rPr>
                <w:rFonts w:ascii="Calibri" w:hAnsi="Calibri"/>
                <w:sz w:val="22"/>
              </w:rPr>
              <w:t>$2.46</w:t>
            </w:r>
          </w:p>
        </w:tc>
        <w:tc>
          <w:tcPr>
            <w:tcW w:type="dxa" w:w="1234"/>
          </w:tcPr>
          <w:p>
            <w:r>
              <w:rPr>
                <w:rFonts w:ascii="Calibri" w:hAnsi="Calibri"/>
                <w:sz w:val="22"/>
              </w:rPr>
              <w:t>+0.4%</w:t>
            </w:r>
          </w:p>
        </w:tc>
        <w:tc>
          <w:tcPr>
            <w:tcW w:type="dxa" w:w="1234"/>
          </w:tcPr>
          <w:p>
            <w:r>
              <w:rPr>
                <w:rFonts w:ascii="Calibri" w:hAnsi="Calibri"/>
                <w:sz w:val="22"/>
              </w:rPr>
              <w:t>N/A — no explicit EPS guidance</w:t>
            </w:r>
          </w:p>
        </w:tc>
        <w:tc>
          <w:tcPr>
            <w:tcW w:type="dxa" w:w="1234"/>
          </w:tcPr>
          <w:p>
            <w:r>
              <w:rPr>
                <w:rFonts w:ascii="Calibri" w:hAnsi="Calibri"/>
                <w:sz w:val="22"/>
              </w:rPr>
              <w:t>N/A</w:t>
            </w:r>
          </w:p>
        </w:tc>
      </w:tr>
      <w:tr>
        <w:tc>
          <w:tcPr>
            <w:tcW w:type="dxa" w:w="1234"/>
          </w:tcPr>
          <w:p>
            <w:r>
              <w:rPr>
                <w:rFonts w:ascii="Calibri" w:hAnsi="Calibri"/>
                <w:sz w:val="22"/>
              </w:rPr>
              <w:t>Aggregate Shipments (M tons)</w:t>
            </w:r>
          </w:p>
        </w:tc>
        <w:tc>
          <w:tcPr>
            <w:tcW w:type="dxa" w:w="1234"/>
          </w:tcPr>
          <w:p>
            <w:r>
              <w:rPr>
                <w:rFonts w:ascii="Calibri" w:hAnsi="Calibri"/>
                <w:sz w:val="22"/>
              </w:rPr>
              <w:t>50.0M tons (+5% YoY)</w:t>
            </w:r>
          </w:p>
        </w:tc>
        <w:tc>
          <w:tcPr>
            <w:tcW w:type="dxa" w:w="1234"/>
          </w:tcPr>
          <w:p>
            <w:r>
              <w:rPr>
                <w:rFonts w:ascii="Calibri" w:hAnsi="Calibri"/>
                <w:sz w:val="22"/>
              </w:rPr>
              <w:t>57.97M tons</w:t>
            </w:r>
          </w:p>
        </w:tc>
        <w:tc>
          <w:tcPr>
            <w:tcW w:type="dxa" w:w="1234"/>
          </w:tcPr>
          <w:p>
            <w:r>
              <w:rPr>
                <w:rFonts w:ascii="Calibri" w:hAnsi="Calibri"/>
                <w:sz w:val="22"/>
              </w:rPr>
              <w:t>59.1M tons</w:t>
            </w:r>
          </w:p>
        </w:tc>
        <w:tc>
          <w:tcPr>
            <w:tcW w:type="dxa" w:w="1234"/>
          </w:tcPr>
          <w:p>
            <w:r>
              <w:rPr>
                <w:rFonts w:ascii="Calibri" w:hAnsi="Calibri"/>
                <w:sz w:val="22"/>
              </w:rPr>
              <w:t>+1.9%</w:t>
            </w:r>
          </w:p>
        </w:tc>
        <w:tc>
          <w:tcPr>
            <w:tcW w:type="dxa" w:w="1234"/>
          </w:tcPr>
          <w:p>
            <w:r>
              <w:rPr>
                <w:rFonts w:ascii="Calibri" w:hAnsi="Calibri"/>
                <w:sz w:val="22"/>
              </w:rPr>
              <w:t>Modest organic growth expected</w:t>
            </w:r>
          </w:p>
        </w:tc>
        <w:tc>
          <w:tcPr>
            <w:tcW w:type="dxa" w:w="1234"/>
          </w:tcPr>
          <w:p>
            <w:r>
              <w:rPr>
                <w:rFonts w:ascii="Calibri" w:hAnsi="Calibri"/>
                <w:sz w:val="22"/>
              </w:rPr>
              <w:t>Tracking guidance</w:t>
            </w:r>
          </w:p>
        </w:tc>
      </w:tr>
      <w:tr>
        <w:tc>
          <w:tcPr>
            <w:tcW w:type="dxa" w:w="1234"/>
          </w:tcPr>
          <w:p>
            <w:r>
              <w:rPr>
                <w:rFonts w:ascii="Calibri" w:hAnsi="Calibri"/>
                <w:sz w:val="22"/>
              </w:rPr>
              <w:t>Avg. Realized Price — Aggregates ($/ton)</w:t>
            </w:r>
          </w:p>
        </w:tc>
        <w:tc>
          <w:tcPr>
            <w:tcW w:type="dxa" w:w="1234"/>
          </w:tcPr>
          <w:p>
            <w:r>
              <w:rPr>
                <w:rFonts w:ascii="Calibri" w:hAnsi="Calibri"/>
                <w:sz w:val="22"/>
              </w:rPr>
              <w:t>$22.80/ton</w:t>
            </w:r>
          </w:p>
        </w:tc>
        <w:tc>
          <w:tcPr>
            <w:tcW w:type="dxa" w:w="1234"/>
          </w:tcPr>
          <w:p>
            <w:r>
              <w:rPr>
                <w:rFonts w:ascii="Calibri" w:hAnsi="Calibri"/>
                <w:sz w:val="22"/>
              </w:rPr>
              <w:t>$22.11/ton</w:t>
            </w:r>
          </w:p>
        </w:tc>
        <w:tc>
          <w:tcPr>
            <w:tcW w:type="dxa" w:w="1234"/>
          </w:tcPr>
          <w:p>
            <w:r>
              <w:rPr>
                <w:rFonts w:ascii="Calibri" w:hAnsi="Calibri"/>
                <w:sz w:val="22"/>
              </w:rPr>
              <w:t>$23.02/ton</w:t>
            </w:r>
          </w:p>
        </w:tc>
        <w:tc>
          <w:tcPr>
            <w:tcW w:type="dxa" w:w="1234"/>
          </w:tcPr>
          <w:p>
            <w:r>
              <w:rPr>
                <w:rFonts w:ascii="Calibri" w:hAnsi="Calibri"/>
                <w:sz w:val="22"/>
              </w:rPr>
              <w:t>+4.1%</w:t>
            </w:r>
          </w:p>
        </w:tc>
        <w:tc>
          <w:tcPr>
            <w:tcW w:type="dxa" w:w="1234"/>
          </w:tcPr>
          <w:p>
            <w:r>
              <w:rPr>
                <w:rFonts w:ascii="Calibri" w:hAnsi="Calibri"/>
                <w:sz w:val="22"/>
              </w:rPr>
              <w:t>Mid-single-digit growth; accelerating through year</w:t>
            </w:r>
          </w:p>
        </w:tc>
        <w:tc>
          <w:tcPr>
            <w:tcW w:type="dxa" w:w="1234"/>
          </w:tcPr>
          <w:p>
            <w:r>
              <w:rPr>
                <w:rFonts w:ascii="Calibri" w:hAnsi="Calibri"/>
                <w:sz w:val="22"/>
              </w:rPr>
              <w:t>Tracking guidance</w:t>
            </w:r>
          </w:p>
        </w:tc>
      </w:tr>
      <w:tr>
        <w:tc>
          <w:tcPr>
            <w:tcW w:type="dxa" w:w="1234"/>
          </w:tcPr>
          <w:p>
            <w:r>
              <w:rPr>
                <w:rFonts w:ascii="Calibri" w:hAnsi="Calibri"/>
                <w:sz w:val="22"/>
              </w:rPr>
              <w:t>Cash Gross Profit per Ton — Aggregates ($/ton)</w:t>
            </w:r>
          </w:p>
        </w:tc>
        <w:tc>
          <w:tcPr>
            <w:tcW w:type="dxa" w:w="1234"/>
          </w:tcPr>
          <w:p>
            <w:r>
              <w:rPr>
                <w:rFonts w:ascii="Calibri" w:hAnsi="Calibri"/>
                <w:sz w:val="22"/>
              </w:rPr>
              <w:t>$10.93/ton</w:t>
            </w:r>
          </w:p>
        </w:tc>
        <w:tc>
          <w:tcPr>
            <w:tcW w:type="dxa" w:w="1234"/>
          </w:tcPr>
          <w:p>
            <w:r>
              <w:rPr>
                <w:rFonts w:ascii="Calibri" w:hAnsi="Calibri"/>
                <w:sz w:val="22"/>
              </w:rPr>
              <w:t>$11.87/ton</w:t>
            </w:r>
          </w:p>
        </w:tc>
        <w:tc>
          <w:tcPr>
            <w:tcW w:type="dxa" w:w="1234"/>
          </w:tcPr>
          <w:p>
            <w:r>
              <w:rPr>
                <w:rFonts w:ascii="Calibri" w:hAnsi="Calibri"/>
                <w:sz w:val="22"/>
              </w:rPr>
              <w:t>$11.85/ton</w:t>
            </w:r>
          </w:p>
        </w:tc>
        <w:tc>
          <w:tcPr>
            <w:tcW w:type="dxa" w:w="1234"/>
          </w:tcPr>
          <w:p>
            <w:r>
              <w:rPr>
                <w:rFonts w:ascii="Calibri" w:hAnsi="Calibri"/>
                <w:sz w:val="22"/>
              </w:rPr>
              <w:t>-0.2%</w:t>
            </w:r>
          </w:p>
        </w:tc>
        <w:tc>
          <w:tcPr>
            <w:tcW w:type="dxa" w:w="1234"/>
          </w:tcPr>
          <w:p>
            <w:r>
              <w:rPr>
                <w:rFonts w:ascii="Calibri" w:hAnsi="Calibri"/>
                <w:sz w:val="22"/>
              </w:rPr>
              <w:t>Continued compounding toward $20/ton LT target</w:t>
            </w:r>
          </w:p>
        </w:tc>
        <w:tc>
          <w:tcPr>
            <w:tcW w:type="dxa" w:w="1234"/>
          </w:tcPr>
          <w:p>
            <w:r>
              <w:rPr>
                <w:rFonts w:ascii="Calibri" w:hAnsi="Calibri"/>
                <w:sz w:val="22"/>
              </w:rPr>
              <w:t>Slight miss vs. prior year; diesel headwind key risk</w:t>
            </w:r>
          </w:p>
        </w:tc>
      </w:tr>
    </w:tbl>
    <w:p>
      <w:r>
        <w:rPr>
          <w:rFonts w:ascii="Calibri" w:hAnsi="Calibri"/>
          <w:i/>
          <w:color w:val="525866"/>
          <w:sz w:val="22"/>
        </w:rPr>
        <w:t xml:space="preserve">Sources: </w:t>
      </w:r>
      <w:r>
        <w:rPr>
          <w:rFonts w:ascii="Calibri" w:hAnsi="Calibri"/>
          <w:i/>
          <w:color w:val="525866"/>
          <w:sz w:val="22"/>
        </w:rPr>
        <w:t>Visible Alpha Consensus and Actuals Data (Total revenues, EBITDA, EPS — Diluted Continuing Ops Operating, Volume — Aggregates Shipments excl. acquisitions, Average realized price — Aggregates, Cash gross profit per unit — Aggregates); VMC Q1 2026 Earnings Release (April 29, 2026); VMC Q1 2026 Earnings Call Transcript.</w:t>
      </w:r>
    </w:p>
    <w:p>
      <w:pPr>
        <w:pStyle w:val="Heading2"/>
      </w:pPr>
      <w:r>
        <w:rPr>
          <w:rFonts w:ascii="Calibri" w:hAnsi="Calibri"/>
          <w:b/>
          <w:color w:val="3B4259"/>
          <w:sz w:val="28"/>
        </w:rPr>
        <w:t>Table 2 — Beat / Miss History: Last 8 Quarters (Top 2 KPIs: Adj. EPS &amp; Aggregate Shipments)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$1.35</w:t>
            </w:r>
          </w:p>
        </w:tc>
        <w:tc>
          <w:tcPr>
            <w:tcW w:type="dxa" w:w="1440"/>
          </w:tcPr>
          <w:p>
            <w:r>
              <w:rPr>
                <w:rFonts w:ascii="Calibri" w:hAnsi="Calibri"/>
                <w:sz w:val="22"/>
              </w:rPr>
              <w:t>$1.11</w:t>
            </w:r>
          </w:p>
        </w:tc>
        <w:tc>
          <w:tcPr>
            <w:tcW w:type="dxa" w:w="1440"/>
          </w:tcPr>
          <w:p>
            <w:r>
              <w:rPr>
                <w:rFonts w:ascii="Calibri" w:hAnsi="Calibri"/>
                <w:b/>
                <w:color w:val="30A46C"/>
                <w:sz w:val="22"/>
              </w:rPr>
              <w:t>+21.6%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Agg. Shipments (M tons)</w:t>
            </w:r>
          </w:p>
        </w:tc>
        <w:tc>
          <w:tcPr>
            <w:tcW w:type="dxa" w:w="1440"/>
          </w:tcPr>
          <w:p>
            <w:r>
              <w:rPr>
                <w:rFonts w:ascii="Calibri" w:hAnsi="Calibri"/>
                <w:sz w:val="22"/>
              </w:rPr>
              <w:t>50.0M</w:t>
            </w:r>
          </w:p>
        </w:tc>
        <w:tc>
          <w:tcPr>
            <w:tcW w:type="dxa" w:w="1440"/>
          </w:tcPr>
          <w:p>
            <w:r>
              <w:rPr>
                <w:rFonts w:ascii="Calibri" w:hAnsi="Calibri"/>
                <w:sz w:val="22"/>
              </w:rPr>
              <w:t>49.1M</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$1.70</w:t>
            </w:r>
          </w:p>
        </w:tc>
        <w:tc>
          <w:tcPr>
            <w:tcW w:type="dxa" w:w="1440"/>
          </w:tcPr>
          <w:p>
            <w:r>
              <w:rPr>
                <w:rFonts w:ascii="Calibri" w:hAnsi="Calibri"/>
                <w:sz w:val="22"/>
              </w:rPr>
              <w:t>$2.12</w:t>
            </w:r>
          </w:p>
        </w:tc>
        <w:tc>
          <w:tcPr>
            <w:tcW w:type="dxa" w:w="1440"/>
          </w:tcPr>
          <w:p>
            <w:r>
              <w:rPr>
                <w:rFonts w:ascii="Calibri" w:hAnsi="Calibri"/>
                <w:b/>
                <w:color w:val="E5484D"/>
                <w:sz w:val="22"/>
              </w:rPr>
              <w:t>-19.8%</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Agg. Shipments (M tons)</w:t>
            </w:r>
          </w:p>
        </w:tc>
        <w:tc>
          <w:tcPr>
            <w:tcW w:type="dxa" w:w="1440"/>
          </w:tcPr>
          <w:p>
            <w:r>
              <w:rPr>
                <w:rFonts w:ascii="Calibri" w:hAnsi="Calibri"/>
                <w:sz w:val="22"/>
              </w:rPr>
              <w:t>53.6M</w:t>
            </w:r>
          </w:p>
        </w:tc>
        <w:tc>
          <w:tcPr>
            <w:tcW w:type="dxa" w:w="1440"/>
          </w:tcPr>
          <w:p>
            <w:r>
              <w:rPr>
                <w:rFonts w:ascii="Calibri" w:hAnsi="Calibri"/>
                <w:sz w:val="22"/>
              </w:rPr>
              <w:t>53.5M</w:t>
            </w:r>
          </w:p>
        </w:tc>
        <w:tc>
          <w:tcPr>
            <w:tcW w:type="dxa" w:w="1440"/>
          </w:tcPr>
          <w:p>
            <w:r>
              <w:rPr>
                <w:rFonts w:ascii="Calibri" w:hAnsi="Calibri"/>
                <w:sz w:val="22"/>
              </w:rPr>
              <w:t>+0.2%</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$2.84</w:t>
            </w:r>
          </w:p>
        </w:tc>
        <w:tc>
          <w:tcPr>
            <w:tcW w:type="dxa" w:w="1440"/>
          </w:tcPr>
          <w:p>
            <w:r>
              <w:rPr>
                <w:rFonts w:ascii="Calibri" w:hAnsi="Calibri"/>
                <w:sz w:val="22"/>
              </w:rPr>
              <w:t>$2.70</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Agg. Shipments (M tons)</w:t>
            </w:r>
          </w:p>
        </w:tc>
        <w:tc>
          <w:tcPr>
            <w:tcW w:type="dxa" w:w="1440"/>
          </w:tcPr>
          <w:p>
            <w:r>
              <w:rPr>
                <w:rFonts w:ascii="Calibri" w:hAnsi="Calibri"/>
                <w:sz w:val="22"/>
              </w:rPr>
              <w:t>60.5M</w:t>
            </w:r>
          </w:p>
        </w:tc>
        <w:tc>
          <w:tcPr>
            <w:tcW w:type="dxa" w:w="1440"/>
          </w:tcPr>
          <w:p>
            <w:r>
              <w:rPr>
                <w:rFonts w:ascii="Calibri" w:hAnsi="Calibri"/>
                <w:sz w:val="22"/>
              </w:rPr>
              <w:t>59.8M</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$2.45</w:t>
            </w:r>
          </w:p>
        </w:tc>
        <w:tc>
          <w:tcPr>
            <w:tcW w:type="dxa" w:w="1440"/>
          </w:tcPr>
          <w:p>
            <w:r>
              <w:rPr>
                <w:rFonts w:ascii="Calibri" w:hAnsi="Calibri"/>
                <w:sz w:val="22"/>
              </w:rPr>
              <w:t>$2.55</w:t>
            </w:r>
          </w:p>
        </w:tc>
        <w:tc>
          <w:tcPr>
            <w:tcW w:type="dxa" w:w="1440"/>
          </w:tcPr>
          <w:p>
            <w:r>
              <w:rPr>
                <w:rFonts w:ascii="Calibri" w:hAnsi="Calibri"/>
                <w:b/>
                <w:color w:val="E5484D"/>
                <w:sz w:val="22"/>
              </w:rPr>
              <w:t>-3.9%</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Agg. Shipments (M tons)</w:t>
            </w:r>
          </w:p>
        </w:tc>
        <w:tc>
          <w:tcPr>
            <w:tcW w:type="dxa" w:w="1440"/>
          </w:tcPr>
          <w:p>
            <w:r>
              <w:rPr>
                <w:rFonts w:ascii="Calibri" w:hAnsi="Calibri"/>
                <w:sz w:val="22"/>
              </w:rPr>
              <w:t>58.0M</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$1.00</w:t>
            </w:r>
          </w:p>
        </w:tc>
        <w:tc>
          <w:tcPr>
            <w:tcW w:type="dxa" w:w="1440"/>
          </w:tcPr>
          <w:p>
            <w:r>
              <w:rPr>
                <w:rFonts w:ascii="Calibri" w:hAnsi="Calibri"/>
                <w:sz w:val="22"/>
              </w:rPr>
              <w:t>$0.77</w:t>
            </w:r>
          </w:p>
        </w:tc>
        <w:tc>
          <w:tcPr>
            <w:tcW w:type="dxa" w:w="1440"/>
          </w:tcPr>
          <w:p>
            <w:r>
              <w:rPr>
                <w:rFonts w:ascii="Calibri" w:hAnsi="Calibri"/>
                <w:b/>
                <w:color w:val="30A46C"/>
                <w:sz w:val="22"/>
              </w:rPr>
              <w:t>+29.9%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Agg. Shipments (M tons)</w:t>
            </w:r>
          </w:p>
        </w:tc>
        <w:tc>
          <w:tcPr>
            <w:tcW w:type="dxa" w:w="1440"/>
          </w:tcPr>
          <w:p>
            <w:r>
              <w:rPr>
                <w:rFonts w:ascii="Calibri" w:hAnsi="Calibri"/>
                <w:sz w:val="22"/>
              </w:rPr>
              <w:t>46.4M</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$2.17</w:t>
            </w:r>
          </w:p>
        </w:tc>
        <w:tc>
          <w:tcPr>
            <w:tcW w:type="dxa" w:w="1440"/>
          </w:tcPr>
          <w:p>
            <w:r>
              <w:rPr>
                <w:rFonts w:ascii="Calibri" w:hAnsi="Calibri"/>
                <w:sz w:val="22"/>
              </w:rPr>
              <w:t>$1.74</w:t>
            </w:r>
          </w:p>
        </w:tc>
        <w:tc>
          <w:tcPr>
            <w:tcW w:type="dxa" w:w="1440"/>
          </w:tcPr>
          <w:p>
            <w:r>
              <w:rPr>
                <w:rFonts w:ascii="Calibri" w:hAnsi="Calibri"/>
                <w:b/>
                <w:color w:val="30A46C"/>
                <w:sz w:val="22"/>
              </w:rPr>
              <w:t>+24.7%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Agg. Shipments (M tons)</w:t>
            </w:r>
          </w:p>
        </w:tc>
        <w:tc>
          <w:tcPr>
            <w:tcW w:type="dxa" w:w="1440"/>
          </w:tcPr>
          <w:p>
            <w:r>
              <w:rPr>
                <w:rFonts w:ascii="Calibri" w:hAnsi="Calibri"/>
                <w:sz w:val="22"/>
              </w:rPr>
              <w:t>52.96M</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$2.22</w:t>
            </w:r>
          </w:p>
        </w:tc>
        <w:tc>
          <w:tcPr>
            <w:tcW w:type="dxa" w:w="1440"/>
          </w:tcPr>
          <w:p>
            <w:r>
              <w:rPr>
                <w:rFonts w:ascii="Calibri" w:hAnsi="Calibri"/>
                <w:sz w:val="22"/>
              </w:rPr>
              <w:t>$2.35</w:t>
            </w:r>
          </w:p>
        </w:tc>
        <w:tc>
          <w:tcPr>
            <w:tcW w:type="dxa" w:w="1440"/>
          </w:tcPr>
          <w:p>
            <w:r>
              <w:rPr>
                <w:rFonts w:ascii="Calibri" w:hAnsi="Calibri"/>
                <w:b/>
                <w:color w:val="E5484D"/>
                <w:sz w:val="22"/>
              </w:rPr>
              <w:t>-5.5%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Agg. Shipments (M tons)</w:t>
            </w:r>
          </w:p>
        </w:tc>
        <w:tc>
          <w:tcPr>
            <w:tcW w:type="dxa" w:w="1440"/>
          </w:tcPr>
          <w:p>
            <w:r>
              <w:rPr>
                <w:rFonts w:ascii="Calibri" w:hAnsi="Calibri"/>
                <w:sz w:val="22"/>
              </w:rPr>
              <w:t>58.5M</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VMC has beaten on Adj. EPS in 5 of the last 8 quarters, with the notable exception of Q4 2025 (a significant miss driven by weather and cost headwinds that caused the stock to gap down sharply) and Q2 2025 (a modest miss). The Q1 2026 beat was the largest in recent history at +21.6%, suggesting the Street had over-de-risked the setup. Aggregate shipment consensus data is only available in VA for Q3 2025 and Q1 2026, both of which were beats. Sources: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Full-year EBITDA guidance of $2.4–$2.6B was reiterated unchanged at Q1 2026 earnings (April 29) and has not been formally revised since. Management's tone has shifted modestly more cautious on near-term costs (diesel headwind concentrated in Q2) but remains confident on the full-year outlook, with pricing expected to accelerate through the back half.</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EBITDA</w:t>
            </w:r>
          </w:p>
        </w:tc>
        <w:tc>
          <w:tcPr>
            <w:tcW w:type="dxa" w:w="1728"/>
          </w:tcPr>
          <w:p>
            <w:r>
              <w:rPr>
                <w:rFonts w:ascii="Calibri" w:hAnsi="Calibri"/>
                <w:sz w:val="22"/>
              </w:rPr>
              <w:t>$2,400–$2,600M ($2,500M midpoint)</w:t>
            </w:r>
          </w:p>
        </w:tc>
        <w:tc>
          <w:tcPr>
            <w:tcW w:type="dxa" w:w="1728"/>
          </w:tcPr>
          <w:p>
            <w:r>
              <w:rPr>
                <w:rFonts w:ascii="Calibri" w:hAnsi="Calibri"/>
                <w:sz w:val="22"/>
              </w:rPr>
              <w:t>Unchanged</w:t>
            </w:r>
          </w:p>
        </w:tc>
        <w:tc>
          <w:tcPr>
            <w:tcW w:type="dxa" w:w="1728"/>
          </w:tcPr>
          <w:p>
            <w:r>
              <w:rPr>
                <w:rFonts w:ascii="Calibri" w:hAnsi="Calibri"/>
                <w:sz w:val="22"/>
              </w:rPr>
              <w:t>$2,449M</w:t>
            </w:r>
          </w:p>
        </w:tc>
        <w:tc>
          <w:tcPr>
            <w:tcW w:type="dxa" w:w="1728"/>
          </w:tcPr>
          <w:p>
            <w:r>
              <w:rPr>
                <w:rFonts w:ascii="Calibri" w:hAnsi="Calibri"/>
                <w:sz w:val="22"/>
              </w:rPr>
              <w:t>Reiterated at Q1 2026 earnings; consensus sits ~2% below midpoint, reflecting diesel uncertainty</w:t>
            </w:r>
          </w:p>
        </w:tc>
      </w:tr>
      <w:tr>
        <w:tc>
          <w:tcPr>
            <w:tcW w:type="dxa" w:w="1728"/>
          </w:tcPr>
          <w:p>
            <w:r>
              <w:rPr>
                <w:rFonts w:ascii="Calibri" w:hAnsi="Calibri"/>
                <w:sz w:val="22"/>
              </w:rPr>
              <w:t>Aggregate Shipments (FY 2026)</w:t>
            </w:r>
          </w:p>
        </w:tc>
        <w:tc>
          <w:tcPr>
            <w:tcW w:type="dxa" w:w="1728"/>
          </w:tcPr>
          <w:p>
            <w:r>
              <w:rPr>
                <w:rFonts w:ascii="Calibri" w:hAnsi="Calibri"/>
                <w:sz w:val="22"/>
              </w:rPr>
              <w:t>Modest organic growth year-over-year</w:t>
            </w:r>
          </w:p>
        </w:tc>
        <w:tc>
          <w:tcPr>
            <w:tcW w:type="dxa" w:w="1728"/>
          </w:tcPr>
          <w:p>
            <w:r>
              <w:rPr>
                <w:rFonts w:ascii="Calibri" w:hAnsi="Calibri"/>
                <w:sz w:val="22"/>
              </w:rPr>
              <w:t>Unchanged</w:t>
            </w:r>
          </w:p>
        </w:tc>
        <w:tc>
          <w:tcPr>
            <w:tcW w:type="dxa" w:w="1728"/>
          </w:tcPr>
          <w:p>
            <w:r>
              <w:rPr>
                <w:rFonts w:ascii="Calibri" w:hAnsi="Calibri"/>
                <w:sz w:val="22"/>
              </w:rPr>
              <w:t>~227.6M tons (FY cons.)</w:t>
            </w:r>
          </w:p>
        </w:tc>
        <w:tc>
          <w:tcPr>
            <w:tcW w:type="dxa" w:w="1728"/>
          </w:tcPr>
          <w:p>
            <w:r>
              <w:rPr>
                <w:rFonts w:ascii="Calibri" w:hAnsi="Calibri"/>
                <w:sz w:val="22"/>
              </w:rPr>
              <w:t>Tracking guidance; Q2 expected to continue at planned shipping levels assuming normal weather</w:t>
            </w:r>
          </w:p>
        </w:tc>
      </w:tr>
      <w:tr>
        <w:tc>
          <w:tcPr>
            <w:tcW w:type="dxa" w:w="1728"/>
          </w:tcPr>
          <w:p>
            <w:r>
              <w:rPr>
                <w:rFonts w:ascii="Calibri" w:hAnsi="Calibri"/>
                <w:sz w:val="22"/>
              </w:rPr>
              <w:t>Aggregate Pricing (FY 2026)</w:t>
            </w:r>
          </w:p>
        </w:tc>
        <w:tc>
          <w:tcPr>
            <w:tcW w:type="dxa" w:w="1728"/>
          </w:tcPr>
          <w:p>
            <w:r>
              <w:rPr>
                <w:rFonts w:ascii="Calibri" w:hAnsi="Calibri"/>
                <w:sz w:val="22"/>
              </w:rPr>
              <w:t>Mid-single-digit growth; start at low end, accelerate through year; exit at high end of range</w:t>
            </w:r>
          </w:p>
        </w:tc>
        <w:tc>
          <w:tcPr>
            <w:tcW w:type="dxa" w:w="1728"/>
          </w:tcPr>
          <w:p>
            <w:r>
              <w:rPr>
                <w:rFonts w:ascii="Calibri" w:hAnsi="Calibri"/>
                <w:sz w:val="22"/>
              </w:rPr>
              <w:t>Unchanged</w:t>
            </w:r>
          </w:p>
        </w:tc>
        <w:tc>
          <w:tcPr>
            <w:tcW w:type="dxa" w:w="1728"/>
          </w:tcPr>
          <w:p>
            <w:r>
              <w:rPr>
                <w:rFonts w:ascii="Calibri" w:hAnsi="Calibri"/>
                <w:sz w:val="22"/>
              </w:rPr>
              <w:t>$23.10/ton (FY cons.)</w:t>
            </w:r>
          </w:p>
        </w:tc>
        <w:tc>
          <w:tcPr>
            <w:tcW w:type="dxa" w:w="1728"/>
          </w:tcPr>
          <w:p>
            <w:r>
              <w:rPr>
                <w:rFonts w:ascii="Calibri" w:hAnsi="Calibri"/>
                <w:sz w:val="22"/>
              </w:rPr>
              <w:t>Mid-year price increases announced across all markets several weeks before Apr 29 call; expected to flow through in H2</w:t>
            </w:r>
          </w:p>
        </w:tc>
      </w:tr>
      <w:tr>
        <w:tc>
          <w:tcPr>
            <w:tcW w:type="dxa" w:w="1728"/>
          </w:tcPr>
          <w:p>
            <w:r>
              <w:rPr>
                <w:rFonts w:ascii="Calibri" w:hAnsi="Calibri"/>
                <w:sz w:val="22"/>
              </w:rPr>
              <w:t>Unit Cash Cost Growth — Aggregates (FY 2026)</w:t>
            </w:r>
          </w:p>
        </w:tc>
        <w:tc>
          <w:tcPr>
            <w:tcW w:type="dxa" w:w="1728"/>
          </w:tcPr>
          <w:p>
            <w:r>
              <w:rPr>
                <w:rFonts w:ascii="Calibri" w:hAnsi="Calibri"/>
                <w:sz w:val="22"/>
              </w:rPr>
              <w:t>Low single-digit growth for full year; higher in H1, moderating in H2</w:t>
            </w:r>
          </w:p>
        </w:tc>
        <w:tc>
          <w:tcPr>
            <w:tcW w:type="dxa" w:w="1728"/>
          </w:tcPr>
          <w:p>
            <w:r>
              <w:rPr>
                <w:rFonts w:ascii="Calibri" w:hAnsi="Calibri"/>
                <w:sz w:val="22"/>
              </w:rPr>
              <w:t>Unchanged</w:t>
            </w:r>
          </w:p>
        </w:tc>
        <w:tc>
          <w:tcPr>
            <w:tcW w:type="dxa" w:w="1728"/>
          </w:tcPr>
          <w:p>
            <w:r>
              <w:rPr>
                <w:rFonts w:ascii="Calibri" w:hAnsi="Calibri"/>
                <w:sz w:val="22"/>
              </w:rPr>
              <w:t>N/A — not tracked in VA</w:t>
            </w:r>
          </w:p>
        </w:tc>
        <w:tc>
          <w:tcPr>
            <w:tcW w:type="dxa" w:w="1728"/>
          </w:tcPr>
          <w:p>
            <w:r>
              <w:rPr>
                <w:rFonts w:ascii="Calibri" w:hAnsi="Calibri"/>
                <w:sz w:val="22"/>
              </w:rPr>
              <w:t>Q2 specifically flagged as the quarter where diesel headwind is most acute (~$25M impact); guidance built assuming diesel stays elevated</w:t>
            </w:r>
          </w:p>
        </w:tc>
      </w:tr>
      <w:tr>
        <w:tc>
          <w:tcPr>
            <w:tcW w:type="dxa" w:w="1728"/>
          </w:tcPr>
          <w:p>
            <w:r>
              <w:rPr>
                <w:rFonts w:ascii="Calibri" w:hAnsi="Calibri"/>
                <w:sz w:val="22"/>
              </w:rPr>
              <w:t>California Ready-Mix Concrete Divestiture</w:t>
            </w:r>
          </w:p>
        </w:tc>
        <w:tc>
          <w:tcPr>
            <w:tcW w:type="dxa" w:w="1728"/>
          </w:tcPr>
          <w:p>
            <w:r>
              <w:rPr>
                <w:rFonts w:ascii="Calibri" w:hAnsi="Calibri"/>
                <w:sz w:val="22"/>
              </w:rPr>
              <w:t>Expected to close in Q2 2026</w:t>
            </w:r>
          </w:p>
        </w:tc>
        <w:tc>
          <w:tcPr>
            <w:tcW w:type="dxa" w:w="1728"/>
          </w:tcPr>
          <w:p>
            <w:r>
              <w:rPr>
                <w:rFonts w:ascii="Calibri" w:hAnsi="Calibri"/>
                <w:sz w:val="22"/>
              </w:rPr>
              <w:t>Effective date: Q2 2026 (pending regulatory approval as of Apr 29)</w:t>
            </w:r>
          </w:p>
        </w:tc>
        <w:tc>
          <w:tcPr>
            <w:tcW w:type="dxa" w:w="1728"/>
          </w:tcPr>
          <w:p>
            <w:r>
              <w:rPr>
                <w:rFonts w:ascii="Calibri" w:hAnsi="Calibri"/>
                <w:sz w:val="22"/>
              </w:rPr>
              <w:t>N/A</w:t>
            </w:r>
          </w:p>
        </w:tc>
        <w:tc>
          <w:tcPr>
            <w:tcW w:type="dxa" w:w="1728"/>
          </w:tcPr>
          <w:p>
            <w:r>
              <w:rPr>
                <w:rFonts w:ascii="Calibri" w:hAnsi="Calibri"/>
                <w:sz w:val="22"/>
              </w:rPr>
              <w:t>Proceeds to be redeployed into aggregates growth (bolt-ons, greenfields, rail yards)</w:t>
            </w:r>
          </w:p>
        </w:tc>
      </w:tr>
    </w:tbl>
    <w:p>
      <w:r>
        <w:rPr>
          <w:rFonts w:ascii="Calibri" w:hAnsi="Calibri"/>
          <w:i/>
          <w:color w:val="525866"/>
          <w:sz w:val="22"/>
        </w:rPr>
        <w:t xml:space="preserve">Source: </w:t>
      </w:r>
      <w:r>
        <w:rPr>
          <w:rFonts w:ascii="Calibri" w:hAnsi="Calibri"/>
          <w:i/>
          <w:color w:val="525866"/>
          <w:sz w:val="22"/>
        </w:rPr>
        <w:t>VMC Q1 2026 Earnings Call Transcript (April 29, 2026); VMC Q1 2026 Earnings Release (April 29,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Q1 earnings for both Q2 and FY 2026, with Q2 EPS down ~6% from the post-Q1 baseline — the Street has partially de-risked the diesel headwind. Full-year EBITDA consensus sits ~2% below the guidance midpoint, suggesting the bar is achievable if H2 pricing acceleration materializes as guided.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$2.62</w:t>
            </w:r>
          </w:p>
        </w:tc>
        <w:tc>
          <w:tcPr>
            <w:tcW w:type="dxa" w:w="1080"/>
          </w:tcPr>
          <w:p>
            <w:r>
              <w:rPr>
                <w:rFonts w:ascii="Calibri" w:hAnsi="Calibri"/>
                <w:sz w:val="22"/>
              </w:rPr>
              <w:t>$2.46</w:t>
            </w:r>
          </w:p>
        </w:tc>
        <w:tc>
          <w:tcPr>
            <w:tcW w:type="dxa" w:w="1080"/>
          </w:tcPr>
          <w:p>
            <w:r>
              <w:rPr>
                <w:rFonts w:ascii="Calibri" w:hAnsi="Calibri"/>
                <w:b/>
                <w:color w:val="E5484D"/>
                <w:sz w:val="22"/>
              </w:rPr>
              <w:t>-6.1%</w:t>
            </w:r>
          </w:p>
        </w:tc>
        <w:tc>
          <w:tcPr>
            <w:tcW w:type="dxa" w:w="1080"/>
          </w:tcPr>
          <w:p>
            <w:r>
              <w:rPr>
                <w:rFonts w:ascii="Calibri" w:hAnsi="Calibri"/>
                <w:sz w:val="22"/>
              </w:rPr>
              <w:t>No explicit Q2 EPS guidance</w:t>
            </w:r>
          </w:p>
        </w:tc>
        <w:tc>
          <w:tcPr>
            <w:tcW w:type="dxa" w:w="1080"/>
          </w:tcPr>
          <w:p>
            <w:r>
              <w:rPr>
                <w:rFonts w:ascii="Calibri" w:hAnsi="Calibri"/>
                <w:sz w:val="22"/>
              </w:rPr>
              <w:t>No explicit Q2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$9.24</w:t>
            </w:r>
          </w:p>
        </w:tc>
        <w:tc>
          <w:tcPr>
            <w:tcW w:type="dxa" w:w="1080"/>
          </w:tcPr>
          <w:p>
            <w:r>
              <w:rPr>
                <w:rFonts w:ascii="Calibri" w:hAnsi="Calibri"/>
                <w:sz w:val="22"/>
              </w:rPr>
              <w:t>$9.08</w:t>
            </w:r>
          </w:p>
        </w:tc>
        <w:tc>
          <w:tcPr>
            <w:tcW w:type="dxa" w:w="1080"/>
          </w:tcPr>
          <w:p>
            <w:r>
              <w:rPr>
                <w:rFonts w:ascii="Calibri" w:hAnsi="Calibri"/>
                <w:b/>
                <w:color w:val="E5484D"/>
                <w:sz w:val="22"/>
              </w:rPr>
              <w:t>-1.7%</w:t>
            </w:r>
          </w:p>
        </w:tc>
        <w:tc>
          <w:tcPr>
            <w:tcW w:type="dxa" w:w="1080"/>
          </w:tcPr>
          <w:p>
            <w:r>
              <w:rPr>
                <w:rFonts w:ascii="Calibri" w:hAnsi="Calibri"/>
                <w:sz w:val="22"/>
              </w:rPr>
              <w:t>No explicit FY EPS guidance</w:t>
            </w:r>
          </w:p>
        </w:tc>
        <w:tc>
          <w:tcPr>
            <w:tcW w:type="dxa" w:w="1080"/>
          </w:tcPr>
          <w:p>
            <w:r>
              <w:rPr>
                <w:rFonts w:ascii="Calibri" w:hAnsi="Calibri"/>
                <w:sz w:val="22"/>
              </w:rPr>
              <w:t>No explicit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 ($M)</w:t>
            </w:r>
          </w:p>
        </w:tc>
        <w:tc>
          <w:tcPr>
            <w:tcW w:type="dxa" w:w="1080"/>
          </w:tcPr>
          <w:p>
            <w:r>
              <w:rPr>
                <w:rFonts w:ascii="Calibri" w:hAnsi="Calibri"/>
                <w:sz w:val="22"/>
              </w:rPr>
              <w:t>$2,140M</w:t>
            </w:r>
          </w:p>
        </w:tc>
        <w:tc>
          <w:tcPr>
            <w:tcW w:type="dxa" w:w="1080"/>
          </w:tcPr>
          <w:p>
            <w:r>
              <w:rPr>
                <w:rFonts w:ascii="Calibri" w:hAnsi="Calibri"/>
                <w:sz w:val="22"/>
              </w:rPr>
              <w:t>$2,128M</w:t>
            </w:r>
          </w:p>
        </w:tc>
        <w:tc>
          <w:tcPr>
            <w:tcW w:type="dxa" w:w="1080"/>
          </w:tcPr>
          <w:p>
            <w:r>
              <w:rPr>
                <w:rFonts w:ascii="Calibri" w:hAnsi="Calibri"/>
                <w:sz w:val="22"/>
              </w:rPr>
              <w:t>-0.6%</w:t>
            </w:r>
          </w:p>
        </w:tc>
        <w:tc>
          <w:tcPr>
            <w:tcW w:type="dxa" w:w="1080"/>
          </w:tcPr>
          <w:p>
            <w:r>
              <w:rPr>
                <w:rFonts w:ascii="Calibri" w:hAnsi="Calibri"/>
                <w:sz w:val="22"/>
              </w:rPr>
              <w:t>No explicit revenue guidance</w:t>
            </w:r>
          </w:p>
        </w:tc>
        <w:tc>
          <w:tcPr>
            <w:tcW w:type="dxa" w:w="1080"/>
          </w:tcPr>
          <w:p>
            <w:r>
              <w:rPr>
                <w:rFonts w:ascii="Calibri" w:hAnsi="Calibri"/>
                <w:sz w:val="22"/>
              </w:rPr>
              <w:t>No explicit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 ($M)</w:t>
            </w:r>
          </w:p>
        </w:tc>
        <w:tc>
          <w:tcPr>
            <w:tcW w:type="dxa" w:w="1080"/>
          </w:tcPr>
          <w:p>
            <w:r>
              <w:rPr>
                <w:rFonts w:ascii="Calibri" w:hAnsi="Calibri"/>
                <w:sz w:val="22"/>
              </w:rPr>
              <w:t>$8,127M</w:t>
            </w:r>
          </w:p>
        </w:tc>
        <w:tc>
          <w:tcPr>
            <w:tcW w:type="dxa" w:w="1080"/>
          </w:tcPr>
          <w:p>
            <w:r>
              <w:rPr>
                <w:rFonts w:ascii="Calibri" w:hAnsi="Calibri"/>
                <w:sz w:val="22"/>
              </w:rPr>
              <w:t>$8,139M</w:t>
            </w:r>
          </w:p>
        </w:tc>
        <w:tc>
          <w:tcPr>
            <w:tcW w:type="dxa" w:w="1080"/>
          </w:tcPr>
          <w:p>
            <w:r>
              <w:rPr>
                <w:rFonts w:ascii="Calibri" w:hAnsi="Calibri"/>
                <w:sz w:val="22"/>
              </w:rPr>
              <w:t>+0.1%</w:t>
            </w:r>
          </w:p>
        </w:tc>
        <w:tc>
          <w:tcPr>
            <w:tcW w:type="dxa" w:w="1080"/>
          </w:tcPr>
          <w:p>
            <w:r>
              <w:rPr>
                <w:rFonts w:ascii="Calibri" w:hAnsi="Calibri"/>
                <w:sz w:val="22"/>
              </w:rPr>
              <w:t>No explicit revenue guidance</w:t>
            </w:r>
          </w:p>
        </w:tc>
        <w:tc>
          <w:tcPr>
            <w:tcW w:type="dxa" w:w="1080"/>
          </w:tcPr>
          <w:p>
            <w:r>
              <w:rPr>
                <w:rFonts w:ascii="Calibri" w:hAnsi="Calibri"/>
                <w:sz w:val="22"/>
              </w:rPr>
              <w:t>No explicit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 Q2 2026 ($M)</w:t>
            </w:r>
          </w:p>
        </w:tc>
        <w:tc>
          <w:tcPr>
            <w:tcW w:type="dxa" w:w="1080"/>
          </w:tcPr>
          <w:p>
            <w:r>
              <w:rPr>
                <w:rFonts w:ascii="Calibri" w:hAnsi="Calibri"/>
                <w:sz w:val="22"/>
              </w:rPr>
              <w:t>$669M</w:t>
            </w:r>
          </w:p>
        </w:tc>
        <w:tc>
          <w:tcPr>
            <w:tcW w:type="dxa" w:w="1080"/>
          </w:tcPr>
          <w:p>
            <w:r>
              <w:rPr>
                <w:rFonts w:ascii="Calibri" w:hAnsi="Calibri"/>
                <w:sz w:val="22"/>
              </w:rPr>
              <w:t>$645M</w:t>
            </w:r>
          </w:p>
        </w:tc>
        <w:tc>
          <w:tcPr>
            <w:tcW w:type="dxa" w:w="1080"/>
          </w:tcPr>
          <w:p>
            <w:r>
              <w:rPr>
                <w:rFonts w:ascii="Calibri" w:hAnsi="Calibri"/>
                <w:b/>
                <w:color w:val="E5484D"/>
                <w:sz w:val="22"/>
              </w:rPr>
              <w:t>-3.6%</w:t>
            </w:r>
          </w:p>
        </w:tc>
        <w:tc>
          <w:tcPr>
            <w:tcW w:type="dxa" w:w="1080"/>
          </w:tcPr>
          <w:p>
            <w:r>
              <w:rPr>
                <w:rFonts w:ascii="Calibri" w:hAnsi="Calibri"/>
                <w:sz w:val="22"/>
              </w:rPr>
              <w:t>No explicit Q2 EBITDA guidance</w:t>
            </w:r>
          </w:p>
        </w:tc>
        <w:tc>
          <w:tcPr>
            <w:tcW w:type="dxa" w:w="1080"/>
          </w:tcPr>
          <w:p>
            <w:r>
              <w:rPr>
                <w:rFonts w:ascii="Calibri" w:hAnsi="Calibri"/>
                <w:sz w:val="22"/>
              </w:rPr>
              <w:t>No explicit Q2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 FY 2026 ($M)</w:t>
            </w:r>
          </w:p>
        </w:tc>
        <w:tc>
          <w:tcPr>
            <w:tcW w:type="dxa" w:w="1080"/>
          </w:tcPr>
          <w:p>
            <w:r>
              <w:rPr>
                <w:rFonts w:ascii="Calibri" w:hAnsi="Calibri"/>
                <w:sz w:val="22"/>
              </w:rPr>
              <w:t>$2,471M</w:t>
            </w:r>
          </w:p>
        </w:tc>
        <w:tc>
          <w:tcPr>
            <w:tcW w:type="dxa" w:w="1080"/>
          </w:tcPr>
          <w:p>
            <w:r>
              <w:rPr>
                <w:rFonts w:ascii="Calibri" w:hAnsi="Calibri"/>
                <w:sz w:val="22"/>
              </w:rPr>
              <w:t>$2,449M</w:t>
            </w:r>
          </w:p>
        </w:tc>
        <w:tc>
          <w:tcPr>
            <w:tcW w:type="dxa" w:w="1080"/>
          </w:tcPr>
          <w:p>
            <w:r>
              <w:rPr>
                <w:rFonts w:ascii="Calibri" w:hAnsi="Calibri"/>
                <w:sz w:val="22"/>
              </w:rPr>
              <w:t>-0.9%</w:t>
            </w:r>
          </w:p>
        </w:tc>
        <w:tc>
          <w:tcPr>
            <w:tcW w:type="dxa" w:w="1080"/>
          </w:tcPr>
          <w:p>
            <w:r>
              <w:rPr>
                <w:rFonts w:ascii="Calibri" w:hAnsi="Calibri"/>
                <w:sz w:val="22"/>
              </w:rPr>
              <w:t>$2,400–$2,600M ($2,500M mid)</w:t>
            </w:r>
          </w:p>
        </w:tc>
        <w:tc>
          <w:tcPr>
            <w:tcW w:type="dxa" w:w="1080"/>
          </w:tcPr>
          <w:p>
            <w:r>
              <w:rPr>
                <w:rFonts w:ascii="Calibri" w:hAnsi="Calibri"/>
                <w:sz w:val="22"/>
              </w:rPr>
              <w:t>$2,400–$2,600M (unchanged)</w:t>
            </w:r>
          </w:p>
        </w:tc>
        <w:tc>
          <w:tcPr>
            <w:tcW w:type="dxa" w:w="1080"/>
          </w:tcPr>
          <w:p>
            <w:r>
              <w:rPr>
                <w:rFonts w:ascii="Calibri" w:hAnsi="Calibri"/>
                <w:sz w:val="22"/>
              </w:rPr>
              <w:t>Unchanged</w:t>
            </w:r>
          </w:p>
        </w:tc>
        <w:tc>
          <w:tcPr>
            <w:tcW w:type="dxa" w:w="1080"/>
          </w:tcPr>
          <w:p>
            <w:r>
              <w:rPr>
                <w:rFonts w:ascii="Calibri" w:hAnsi="Calibri"/>
                <w:sz w:val="22"/>
              </w:rPr>
              <w:t>-2.0% vs. midpoint</w:t>
            </w:r>
          </w:p>
        </w:tc>
      </w:tr>
      <w:tr>
        <w:tc>
          <w:tcPr>
            <w:tcW w:type="dxa" w:w="1080"/>
          </w:tcPr>
          <w:p>
            <w:r>
              <w:rPr>
                <w:rFonts w:ascii="Calibri" w:hAnsi="Calibri"/>
                <w:sz w:val="22"/>
              </w:rPr>
              <w:t>Agg. Shipments — Q2 2026 (M tons)</w:t>
            </w:r>
          </w:p>
        </w:tc>
        <w:tc>
          <w:tcPr>
            <w:tcW w:type="dxa" w:w="1080"/>
          </w:tcPr>
          <w:p>
            <w:r>
              <w:rPr>
                <w:rFonts w:ascii="Calibri" w:hAnsi="Calibri"/>
                <w:sz w:val="22"/>
              </w:rPr>
              <w:t>60.2M</w:t>
            </w:r>
          </w:p>
        </w:tc>
        <w:tc>
          <w:tcPr>
            <w:tcW w:type="dxa" w:w="1080"/>
          </w:tcPr>
          <w:p>
            <w:r>
              <w:rPr>
                <w:rFonts w:ascii="Calibri" w:hAnsi="Calibri"/>
                <w:sz w:val="22"/>
              </w:rPr>
              <w:t>59.1M</w:t>
            </w:r>
          </w:p>
        </w:tc>
        <w:tc>
          <w:tcPr>
            <w:tcW w:type="dxa" w:w="1080"/>
          </w:tcPr>
          <w:p>
            <w:r>
              <w:rPr>
                <w:rFonts w:ascii="Calibri" w:hAnsi="Calibri"/>
                <w:sz w:val="22"/>
              </w:rPr>
              <w:t>-1.8%</w:t>
            </w:r>
          </w:p>
        </w:tc>
        <w:tc>
          <w:tcPr>
            <w:tcW w:type="dxa" w:w="1080"/>
          </w:tcPr>
          <w:p>
            <w:r>
              <w:rPr>
                <w:rFonts w:ascii="Calibri" w:hAnsi="Calibri"/>
                <w:sz w:val="22"/>
              </w:rPr>
              <w:t>Modest organic growth (FY)</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guidance</w:t>
            </w:r>
          </w:p>
        </w:tc>
      </w:tr>
      <w:tr>
        <w:tc>
          <w:tcPr>
            <w:tcW w:type="dxa" w:w="1080"/>
          </w:tcPr>
          <w:p>
            <w:r>
              <w:rPr>
                <w:rFonts w:ascii="Calibri" w:hAnsi="Calibri"/>
                <w:sz w:val="22"/>
              </w:rPr>
              <w:t>Avg. Realized Price — Agg. Q2 2026 ($/ton)</w:t>
            </w:r>
          </w:p>
        </w:tc>
        <w:tc>
          <w:tcPr>
            <w:tcW w:type="dxa" w:w="1080"/>
          </w:tcPr>
          <w:p>
            <w:r>
              <w:rPr>
                <w:rFonts w:ascii="Calibri" w:hAnsi="Calibri"/>
                <w:sz w:val="22"/>
              </w:rPr>
              <w:t>$23.03/ton</w:t>
            </w:r>
          </w:p>
        </w:tc>
        <w:tc>
          <w:tcPr>
            <w:tcW w:type="dxa" w:w="1080"/>
          </w:tcPr>
          <w:p>
            <w:r>
              <w:rPr>
                <w:rFonts w:ascii="Calibri" w:hAnsi="Calibri"/>
                <w:sz w:val="22"/>
              </w:rPr>
              <w:t>$23.02/ton</w:t>
            </w:r>
          </w:p>
        </w:tc>
        <w:tc>
          <w:tcPr>
            <w:tcW w:type="dxa" w:w="1080"/>
          </w:tcPr>
          <w:p>
            <w:r>
              <w:rPr>
                <w:rFonts w:ascii="Calibri" w:hAnsi="Calibri"/>
                <w:sz w:val="22"/>
              </w:rPr>
              <w:t>-0.1%</w:t>
            </w:r>
          </w:p>
        </w:tc>
        <w:tc>
          <w:tcPr>
            <w:tcW w:type="dxa" w:w="1080"/>
          </w:tcPr>
          <w:p>
            <w:r>
              <w:rPr>
                <w:rFonts w:ascii="Calibri" w:hAnsi="Calibri"/>
                <w:sz w:val="22"/>
              </w:rPr>
              <w:t>Mid-single-digit growth; accelerating through year</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guidance</w:t>
            </w:r>
          </w:p>
        </w:tc>
      </w:tr>
      <w:tr>
        <w:tc>
          <w:tcPr>
            <w:tcW w:type="dxa" w:w="1080"/>
          </w:tcPr>
          <w:p>
            <w:r>
              <w:rPr>
                <w:rFonts w:ascii="Calibri" w:hAnsi="Calibri"/>
                <w:sz w:val="22"/>
              </w:rPr>
              <w:t>Cash GP/ton — Agg. Q2 2026 ($/ton)</w:t>
            </w:r>
          </w:p>
        </w:tc>
        <w:tc>
          <w:tcPr>
            <w:tcW w:type="dxa" w:w="1080"/>
          </w:tcPr>
          <w:p>
            <w:r>
              <w:rPr>
                <w:rFonts w:ascii="Calibri" w:hAnsi="Calibri"/>
                <w:sz w:val="22"/>
              </w:rPr>
              <w:t>$11.97/ton</w:t>
            </w:r>
          </w:p>
        </w:tc>
        <w:tc>
          <w:tcPr>
            <w:tcW w:type="dxa" w:w="1080"/>
          </w:tcPr>
          <w:p>
            <w:r>
              <w:rPr>
                <w:rFonts w:ascii="Calibri" w:hAnsi="Calibri"/>
                <w:sz w:val="22"/>
              </w:rPr>
              <w:t>$11.85/ton</w:t>
            </w:r>
          </w:p>
        </w:tc>
        <w:tc>
          <w:tcPr>
            <w:tcW w:type="dxa" w:w="1080"/>
          </w:tcPr>
          <w:p>
            <w:r>
              <w:rPr>
                <w:rFonts w:ascii="Calibri" w:hAnsi="Calibri"/>
                <w:sz w:val="22"/>
              </w:rPr>
              <w:t>-1.0%</w:t>
            </w:r>
          </w:p>
        </w:tc>
        <w:tc>
          <w:tcPr>
            <w:tcW w:type="dxa" w:w="1080"/>
          </w:tcPr>
          <w:p>
            <w:r>
              <w:rPr>
                <w:rFonts w:ascii="Calibri" w:hAnsi="Calibri"/>
                <w:sz w:val="22"/>
              </w:rPr>
              <w:t>Continued compounding toward $20/ton LT target</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Slight miss vs. prior year; diesel headwind key risk</w:t>
            </w:r>
          </w:p>
        </w:tc>
      </w:tr>
    </w:tbl>
    <w:p>
      <w:r>
        <w:rPr>
          <w:rFonts w:ascii="Calibri" w:hAnsi="Calibri"/>
          <w:i/>
          <w:color w:val="525866"/>
          <w:sz w:val="22"/>
        </w:rPr>
        <w:t xml:space="preserve">Note: </w:t>
      </w:r>
      <w:r>
        <w:rPr>
          <w:rFonts w:ascii="Calibri" w:hAnsi="Calibri"/>
          <w:i/>
          <w:color w:val="525866"/>
          <w:sz w:val="22"/>
        </w:rPr>
        <w:t>Indexed to 100 at April 29, 2026 close (VMC: $296.08, XLB: $50.96, SPY: $711.58). XLB (Materials Select Sector SPDR) is the appropriate sector benchmark for VMC as a large-cap materials company. Source: Stock Price Data (Yahoo Finance).</w:t>
      </w:r>
    </w:p>
    <w:p>
      <w:r>
        <w:rPr>
          <w:rFonts w:ascii="Calibri" w:hAnsi="Calibri"/>
          <w:b/>
          <w:color w:val="525866"/>
          <w:sz w:val="22"/>
        </w:rPr>
        <w:t xml:space="preserve">Performance Decomposition: </w:t>
      </w:r>
      <w:r>
        <w:rPr>
          <w:rFonts w:ascii="Calibri" w:hAnsi="Calibri"/>
          <w:color w:val="525866"/>
          <w:sz w:val="22"/>
        </w:rPr>
        <w:t>Over the 1-month window, VMC's -7.35% price decline was driven almost entirely by multiple compression: EV/EBITDA contracted from ~17.2x to ~15.75x NTM (-8.3%), while NTM EBITDA estimates were essentially flat. Over 3 months, the stock is down -0.98% with EV/EBITDA down -4.5% — again, multiple-driven. The 12-month picture is more constructive: VMC is up +4.96% with EV/EBITDA up +1.3%, suggesting the longer-term fundamental story is intact. The near-term multiple compression reflects macro uncertainty (Iran conflict, diesel spike, tariff noise) rather than a fundamental re-rating, which creates a setup where a clean Q2 beat could re-rate the stock quickly.</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NAFTA arbitration resolution (July 27, 2026) — a negligible $15M award vs. $1.7B sought removes a long-running overhang but eliminates upside optionality; management's tone on the call will be closely watched. The diesel spike from the Iran conflict is the primary operational headwind heading into Q2.</w:t>
      </w:r>
    </w:p>
    <w:p>
      <w:pPr>
        <w:pStyle w:val="ListBullet"/>
        <w:ind w:left="360" w:hanging="360"/>
      </w:pPr>
      <w:r>
        <w:rPr>
          <w:rFonts w:ascii="Calibri" w:hAnsi="Calibri"/>
          <w:b/>
          <w:color w:val="525866"/>
          <w:sz w:val="22"/>
        </w:rPr>
        <w:t xml:space="preserve">July 27, 2026 — NAFTA Arbitration Decision (VMC 8-K): </w:t>
      </w:r>
      <w:r>
        <w:rPr>
          <w:rFonts w:ascii="Calibri" w:hAnsi="Calibri"/>
          <w:color w:val="525866"/>
          <w:sz w:val="22"/>
        </w:rPr>
        <w:t xml:space="preserve">The NAFTA tribunal issued its decision on Vulcan's 2018 arbitration against Mexico over the shutdown of its Quintana Roo quarrying operations. The tribunal found Mexico violated NAFTA in several respects but awarded only ~$15M in damages vs. the $1.7B Vulcan sought. Vulcan called the financial compensation "insignificant." The decision will remain confidential until publicly available. </w:t>
      </w:r>
    </w:p>
    <w:p>
      <w:pPr>
        <w:pStyle w:val="ListBullet"/>
        <w:ind w:left="360" w:hanging="360"/>
      </w:pPr>
      <w:r>
        <w:rPr>
          <w:rFonts w:ascii="Calibri" w:hAnsi="Calibri"/>
          <w:i/>
          <w:color w:val="525866"/>
          <w:sz w:val="22"/>
        </w:rPr>
        <w:t xml:space="preserve">Implication: </w:t>
      </w:r>
      <w:r>
        <w:rPr>
          <w:rFonts w:ascii="Calibri" w:hAnsi="Calibri"/>
          <w:color w:val="525866"/>
          <w:sz w:val="22"/>
        </w:rPr>
        <w:t>Removes a long-running legal overhang but eliminates any upside optionality from a large award. Management's tone on the Q2 call regarding Mexico and capital redeployment will be closely watched. Effective date of decision: July 27, 2026; disclosure date: July 27, 2026 (8-K filing).</w:t>
      </w:r>
    </w:p>
    <w:p>
      <w:pPr>
        <w:pStyle w:val="ListBullet"/>
        <w:ind w:left="360" w:hanging="360"/>
      </w:pPr>
      <w:r>
        <w:rPr>
          <w:rFonts w:ascii="Calibri" w:hAnsi="Calibri"/>
          <w:b/>
          <w:color w:val="525866"/>
          <w:sz w:val="22"/>
        </w:rPr>
        <w:t xml:space="preserve">June 29, 2026 — Martin Marietta (MLM) Announces $13.5B Lhoist North America Acquisition: </w:t>
      </w:r>
      <w:r>
        <w:rPr>
          <w:rFonts w:ascii="Calibri" w:hAnsi="Calibri"/>
          <w:color w:val="525866"/>
          <w:sz w:val="22"/>
        </w:rPr>
        <w:t xml:space="preserve">VMC's closest peer announced its largest-ever acquisition, buying Lhoist North America (lime, dolomitic lime, limestone-based industrial minerals) for $13.5B in cash and stock. MLM's CEO cited infrastructure and reindustrialization tailwinds, data centers, LNG, and Texas demand as key drivers. </w:t>
      </w:r>
    </w:p>
    <w:p>
      <w:pPr>
        <w:pStyle w:val="ListBullet"/>
        <w:ind w:left="360" w:hanging="360"/>
      </w:pPr>
      <w:r>
        <w:rPr>
          <w:rFonts w:ascii="Calibri" w:hAnsi="Calibri"/>
          <w:i/>
          <w:color w:val="525866"/>
          <w:sz w:val="22"/>
        </w:rPr>
        <w:t xml:space="preserve">Implication: </w:t>
      </w:r>
      <w:r>
        <w:rPr>
          <w:rFonts w:ascii="Calibri" w:hAnsi="Calibri"/>
          <w:color w:val="525866"/>
          <w:sz w:val="22"/>
        </w:rPr>
        <w:t>Positive read-through for aggregates demand fundamentals (MLM is paying a premium to gain exposure to the same end markets VMC serves). Also signals that the sector's strategic value is high, which could support VMC's premium valuation. MLM's stock fell on the announcement (leverage concerns), but the deal validates the long-term demand thesis.</w:t>
      </w:r>
    </w:p>
    <w:p>
      <w:pPr>
        <w:pStyle w:val="ListBullet"/>
        <w:ind w:left="360" w:hanging="360"/>
      </w:pPr>
      <w:r>
        <w:rPr>
          <w:rFonts w:ascii="Calibri" w:hAnsi="Calibri"/>
          <w:b/>
          <w:color w:val="525866"/>
          <w:sz w:val="22"/>
        </w:rPr>
        <w:t xml:space="preserve">June 22, 2026 — CRH Announces $8.5B Arcosa Acquisition: </w:t>
      </w:r>
      <w:r>
        <w:rPr>
          <w:rFonts w:ascii="Calibri" w:hAnsi="Calibri"/>
          <w:color w:val="525866"/>
          <w:sz w:val="22"/>
        </w:rPr>
        <w:t xml:space="preserve">CRH, another major aggregates peer, announced plans to acquire Arcosa for $8.5B to bolster its aggregates portfolio and capitalize on infrastructure megatrends. </w:t>
      </w:r>
    </w:p>
    <w:p>
      <w:pPr>
        <w:pStyle w:val="ListBullet"/>
        <w:ind w:left="360" w:hanging="360"/>
      </w:pPr>
      <w:r>
        <w:rPr>
          <w:rFonts w:ascii="Calibri" w:hAnsi="Calibri"/>
          <w:i/>
          <w:color w:val="525866"/>
          <w:sz w:val="22"/>
        </w:rPr>
        <w:t xml:space="preserve">Implication: </w:t>
      </w:r>
      <w:r>
        <w:rPr>
          <w:rFonts w:ascii="Calibri" w:hAnsi="Calibri"/>
          <w:color w:val="525866"/>
          <w:sz w:val="22"/>
        </w:rPr>
        <w:t>Second major sector M&amp;A deal in one month, reinforcing the strategic value of aggregates assets and the infrastructure demand thesis. Positive read-through for VMC's premium valuation.</w:t>
      </w:r>
    </w:p>
    <w:p>
      <w:pPr>
        <w:pStyle w:val="ListBullet"/>
        <w:ind w:left="360" w:hanging="360"/>
      </w:pPr>
      <w:r>
        <w:rPr>
          <w:rFonts w:ascii="Calibri" w:hAnsi="Calibri"/>
          <w:b/>
          <w:color w:val="525866"/>
          <w:sz w:val="22"/>
        </w:rPr>
        <w:t xml:space="preserve">July 22, 2026 — Diesel / Energy Price Spike (Iran Conflict): </w:t>
      </w:r>
      <w:r>
        <w:rPr>
          <w:rFonts w:ascii="Calibri" w:hAnsi="Calibri"/>
          <w:color w:val="525866"/>
          <w:sz w:val="22"/>
        </w:rPr>
        <w:t xml:space="preserve">U.S. retail diesel jumped nearly 34 cents in one week to $5.13/gallon — the biggest weekly climb since the start of the Iran war in March 2026. National average gasoline reached $4.06/gallon. U.S. refineries running near capacity at 96.1%. </w:t>
      </w:r>
    </w:p>
    <w:p>
      <w:pPr>
        <w:pStyle w:val="ListBullet"/>
        <w:ind w:left="360" w:hanging="360"/>
      </w:pPr>
      <w:r>
        <w:rPr>
          <w:rFonts w:ascii="Calibri" w:hAnsi="Calibri"/>
          <w:i/>
          <w:color w:val="525866"/>
          <w:sz w:val="22"/>
        </w:rPr>
        <w:t xml:space="preserve">Implication: </w:t>
      </w:r>
      <w:r>
        <w:rPr>
          <w:rFonts w:ascii="Calibri" w:hAnsi="Calibri"/>
          <w:color w:val="525866"/>
          <w:sz w:val="22"/>
        </w:rPr>
        <w:t>Directly relevant to VMC's Q2 cost guidance. Management flagged ~$25M Q2 diesel headwind on the Q1 call assuming diesel stays elevated; the actual spike may have been worse than modeled. This is the single biggest risk to Q2 unit cash cost performance.</w:t>
      </w:r>
    </w:p>
    <w:p>
      <w:pPr>
        <w:pStyle w:val="ListBullet"/>
        <w:ind w:left="360" w:hanging="360"/>
      </w:pPr>
      <w:r>
        <w:rPr>
          <w:rFonts w:ascii="Calibri" w:hAnsi="Calibri"/>
          <w:b/>
          <w:color w:val="525866"/>
          <w:sz w:val="22"/>
        </w:rPr>
        <w:t xml:space="preserve">May 11, 2026 — VMC President Baker II Retirement Announced (8-K): </w:t>
      </w:r>
      <w:r>
        <w:rPr>
          <w:rFonts w:ascii="Calibri" w:hAnsi="Calibri"/>
          <w:color w:val="525866"/>
          <w:sz w:val="22"/>
        </w:rPr>
        <w:t xml:space="preserve">Vulcan Materials announced that President Baker II will retire. This follows the CEO transition to Ronnie Pruitt effective January 1, 2026. </w:t>
      </w:r>
    </w:p>
    <w:p>
      <w:pPr>
        <w:pStyle w:val="ListBullet"/>
        <w:ind w:left="360" w:hanging="360"/>
      </w:pPr>
      <w:r>
        <w:rPr>
          <w:rFonts w:ascii="Calibri" w:hAnsi="Calibri"/>
          <w:i/>
          <w:color w:val="525866"/>
          <w:sz w:val="22"/>
        </w:rPr>
        <w:t xml:space="preserve">Implication: </w:t>
      </w:r>
      <w:r>
        <w:rPr>
          <w:rFonts w:ascii="Calibri" w:hAnsi="Calibri"/>
          <w:color w:val="525866"/>
          <w:sz w:val="22"/>
        </w:rPr>
        <w:t>Second senior leadership departure in six months. Analysts may probe management depth and organizational stability on the Q2 call, though the Pruitt transition has been smooth operationally.</w:t>
      </w:r>
    </w:p>
    <w:p>
      <w:pPr>
        <w:pStyle w:val="ListBullet"/>
        <w:ind w:left="360" w:hanging="360"/>
      </w:pPr>
      <w:r>
        <w:rPr>
          <w:rFonts w:ascii="Calibri" w:hAnsi="Calibri"/>
          <w:b/>
          <w:color w:val="525866"/>
          <w:sz w:val="22"/>
        </w:rPr>
        <w:t xml:space="preserve">April 29, 2026 — Mid-Year Price Increases Announced Across All Markets: </w:t>
      </w:r>
      <w:r>
        <w:rPr>
          <w:rFonts w:ascii="Calibri" w:hAnsi="Calibri"/>
          <w:color w:val="525866"/>
          <w:sz w:val="22"/>
        </w:rPr>
        <w:t xml:space="preserve">Management disclosed on the Q1 call that mid-year price increases had been announced "several weeks ago" (i.e., early April 2026) across all markets, earlier than the prior year. </w:t>
      </w:r>
    </w:p>
    <w:p>
      <w:pPr>
        <w:pStyle w:val="ListBullet"/>
        <w:ind w:left="360" w:hanging="360"/>
      </w:pPr>
      <w:r>
        <w:rPr>
          <w:rFonts w:ascii="Calibri" w:hAnsi="Calibri"/>
          <w:i/>
          <w:color w:val="525866"/>
          <w:sz w:val="22"/>
        </w:rPr>
        <w:t xml:space="preserve">Implication: </w:t>
      </w:r>
      <w:r>
        <w:rPr>
          <w:rFonts w:ascii="Calibri" w:hAnsi="Calibri"/>
          <w:color w:val="525866"/>
          <w:sz w:val="22"/>
        </w:rPr>
        <w:t>Key positive catalyst for Q2/H2 pricing. If these increases are holding in the backlog, Q2 pricing could surprise to the upside vs. the ~$23.02/ton consensus.</w:t>
      </w:r>
    </w:p>
    <w:p>
      <w:pPr>
        <w:pStyle w:val="ListBullet"/>
        <w:ind w:left="360" w:hanging="360"/>
      </w:pPr>
      <w:r>
        <w:rPr>
          <w:rFonts w:ascii="Calibri" w:hAnsi="Calibri"/>
          <w:b/>
          <w:color w:val="525866"/>
          <w:sz w:val="22"/>
        </w:rPr>
        <w:t xml:space="preserve">Ongoing — IIJA Reauthorization / Highway Funding: </w:t>
      </w:r>
      <w:r>
        <w:rPr>
          <w:rFonts w:ascii="Calibri" w:hAnsi="Calibri"/>
          <w:color w:val="525866"/>
          <w:sz w:val="22"/>
        </w:rPr>
        <w:t xml:space="preserve">The Transportation Committee was in the middle of markups as of the Q1 call (April 29), with a first reading expected mid-May 2026. The IIJA expires later in 2026; management expects a smooth transition via continuing resolution and a new bill with higher funding levels. Only 45% of IIJA dollars have been spent. </w:t>
      </w:r>
    </w:p>
    <w:p>
      <w:pPr>
        <w:pStyle w:val="ListBullet"/>
        <w:ind w:left="360" w:hanging="360"/>
      </w:pPr>
      <w:r>
        <w:rPr>
          <w:rFonts w:ascii="Calibri" w:hAnsi="Calibri"/>
          <w:i/>
          <w:color w:val="525866"/>
          <w:sz w:val="22"/>
        </w:rPr>
        <w:t xml:space="preserve">Implication: </w:t>
      </w:r>
      <w:r>
        <w:rPr>
          <w:rFonts w:ascii="Calibri" w:hAnsi="Calibri"/>
          <w:color w:val="525866"/>
          <w:sz w:val="22"/>
        </w:rPr>
        <w:t>Positive multi-year tailwind for public construction demand. Any update on the reauthorization timeline on the Q2 call will be closely watched.</w:t>
      </w:r>
    </w:p>
    <w:p>
      <w:r>
        <w:br w:type="page"/>
      </w:r>
    </w:p>
    <w:p>
      <w:pPr>
        <w:pStyle w:val="Heading1"/>
        <w:pBdr>
          <w:bottom w:val="single" w:sz="4" w:space="1" w:color="FB9120"/>
        </w:pBdr>
      </w:pPr>
      <w:r>
        <w:rPr>
          <w:rFonts w:ascii="Calibri" w:hAnsi="Calibri"/>
          <w:b/>
          <w:color w:val="3B4259"/>
          <w:sz w:val="40"/>
        </w:rPr>
        <w:t>7. Peer Commentary / Read-Through</w:t>
      </w:r>
    </w:p>
    <w:p>
      <w:r>
        <w:rPr>
          <w:rFonts w:ascii="Calibri" w:hAnsi="Calibri"/>
          <w:b/>
          <w:color w:val="525866"/>
          <w:sz w:val="22"/>
        </w:rPr>
        <w:t xml:space="preserve">Screening Methodology: </w:t>
      </w:r>
      <w:r>
        <w:rPr>
          <w:rFonts w:ascii="Calibri" w:hAnsi="Calibri"/>
          <w:color w:val="525866"/>
          <w:sz w:val="22"/>
        </w:rPr>
        <w:t>This section includes only peer commentary made between May 29 and July 28, 2026 that explicitly addresses the peer's current quarter (Q2 2026) or forward outlook. Commentary solely describing a prior-quarter result (e.g., Q1 2026 earnings recaps) is excluded. Strategic M&amp;A announcements are included where they contain explicit forward demand commentary, but are clearly distinguished from operating read-throughs. The eligible peer universe is VMC's direct building materials / aggregates peers: MLM, CRH, EXP, SUM, and adjacent materials companies (SHW, NUE, STLD, DOW) where relevant.</w:t>
      </w:r>
    </w:p>
    <w:p>
      <w:r>
        <w:rPr>
          <w:rFonts w:ascii="Calibri" w:hAnsi="Calibri"/>
          <w:b/>
          <w:color w:val="525866"/>
          <w:sz w:val="22"/>
        </w:rPr>
        <w:t xml:space="preserve">Important Caveat: </w:t>
      </w:r>
      <w:r>
        <w:rPr>
          <w:rFonts w:ascii="Calibri" w:hAnsi="Calibri"/>
          <w:color w:val="525866"/>
          <w:sz w:val="22"/>
        </w:rPr>
        <w:t>The eligible peer commentary pool for the May 29–July 28, 2026 window is limited. MLM and CRH have not yet reported Q2 2026 earnings (both are VMC's closest peers and report after VMC). The most relevant read-throughs come from (1) MLM's Lhoist acquisition call (June 29), which contains explicit forward demand commentary, and (2) adjacent materials companies (SHW, NUE, STLD, DOW) that have reported Q2 2026 results with construction/infrastructure demand commentary. No Q2 2026 earnings transcripts from MLM or CRH are available as of July 28, 2026.</w:t>
      </w:r>
    </w:p>
    <w:p>
      <w:pPr>
        <w:pStyle w:val="Heading2"/>
      </w:pPr>
      <w:r>
        <w:rPr>
          <w:rFonts w:ascii="Calibri" w:hAnsi="Calibri"/>
          <w:b/>
          <w:color w:val="3B4259"/>
          <w:sz w:val="28"/>
        </w:rPr>
        <w:t>A. Direct Aggregates Peer Read-Throughs</w:t>
      </w:r>
    </w:p>
    <w:p>
      <w:pPr>
        <w:pStyle w:val="Heading3"/>
      </w:pPr>
      <w:r>
        <w:rPr>
          <w:rFonts w:ascii="Calibri" w:hAnsi="Calibri"/>
          <w:b/>
          <w:color w:val="3B4259"/>
          <w:sz w:val="24"/>
        </w:rPr>
        <w:t>Martin Marietta (MLM) — Lhoist North America Acquisition Call (June 29, 2026)</w:t>
      </w:r>
    </w:p>
    <w:p>
      <w:r>
        <w:rPr>
          <w:rFonts w:ascii="Calibri" w:hAnsi="Calibri"/>
          <w:b/>
          <w:color w:val="525866"/>
          <w:sz w:val="22"/>
        </w:rPr>
        <w:t xml:space="preserve">Classification: </w:t>
      </w:r>
      <w:r>
        <w:rPr>
          <w:rFonts w:ascii="Calibri" w:hAnsi="Calibri"/>
          <w:color w:val="525866"/>
          <w:sz w:val="22"/>
        </w:rPr>
        <w:t>Strategic M&amp;A announcement with explicit forward demand commentary. This is NOT a quarterly earnings read-through, but the call contains material forward-looking statements about end-market demand that are directly relevant to VMC's Q2 2026 setup.</w:t>
      </w:r>
    </w:p>
    <w:p>
      <w:pPr>
        <w:pStyle w:val="ListBullet"/>
        <w:ind w:left="360" w:hanging="360"/>
      </w:pPr>
      <w:r>
        <w:rPr>
          <w:rFonts w:ascii="Calibri" w:hAnsi="Calibri"/>
          <w:b/>
          <w:color w:val="525866"/>
          <w:sz w:val="22"/>
        </w:rPr>
        <w:t xml:space="preserve">Texas demand outpacing the U.S.: </w:t>
      </w:r>
      <w:r>
        <w:rPr>
          <w:rFonts w:ascii="Calibri" w:hAnsi="Calibri"/>
          <w:color w:val="525866"/>
          <w:sz w:val="22"/>
        </w:rPr>
        <w:t>MLM CEO Ward Nye stated that Texas, MLM's largest market, "continues to outpace the broader United States" in construction demand, and called Texas "ground zero for this next generation of data centers." This is a direct positive read-through for VMC, which has significant Texas exposure and has cited data centers as a key demand driver.</w:t>
      </w:r>
    </w:p>
    <w:p>
      <w:pPr>
        <w:pStyle w:val="ListBullet"/>
        <w:ind w:left="360" w:hanging="360"/>
      </w:pPr>
      <w:r>
        <w:rPr>
          <w:rFonts w:ascii="Calibri" w:hAnsi="Calibri"/>
          <w:b/>
          <w:color w:val="525866"/>
          <w:sz w:val="22"/>
        </w:rPr>
        <w:t xml:space="preserve">Infrastructure and reindustrialization tailwinds confirmed: </w:t>
      </w:r>
      <w:r>
        <w:rPr>
          <w:rFonts w:ascii="Calibri" w:hAnsi="Calibri"/>
          <w:color w:val="525866"/>
          <w:sz w:val="22"/>
        </w:rPr>
        <w:t>MLM described the combined platform as "well positioned to benefit from powerful infrastructure and reindustrialization tailwinds," specifically citing highways, data centers, semiconductor fabrication, and LNG facilities across the southern U.S. — all end markets VMC serves. This validates VMC's own commentary on large project demand.</w:t>
      </w:r>
    </w:p>
    <w:p>
      <w:pPr>
        <w:pStyle w:val="ListBullet"/>
        <w:ind w:left="360" w:hanging="360"/>
      </w:pPr>
      <w:r>
        <w:rPr>
          <w:rFonts w:ascii="Calibri" w:hAnsi="Calibri"/>
          <w:b/>
          <w:color w:val="525866"/>
          <w:sz w:val="22"/>
        </w:rPr>
        <w:t xml:space="preserve">Data center demand accelerating: </w:t>
      </w:r>
      <w:r>
        <w:rPr>
          <w:rFonts w:ascii="Calibri" w:hAnsi="Calibri"/>
          <w:color w:val="525866"/>
          <w:sz w:val="22"/>
        </w:rPr>
        <w:t>MLM explicitly called Texas "ground zero for this next generation of data centers" and highlighted that approximately 650 million square feet of data centers are under construction or announced (consistent with VMC's own Q1 2026 disclosure). This is a strong positive read-through for VMC's aggregates demand outlook.</w:t>
      </w:r>
    </w:p>
    <w:p>
      <w:pPr>
        <w:pStyle w:val="ListBullet"/>
        <w:ind w:left="360" w:hanging="360"/>
      </w:pPr>
      <w:r>
        <w:rPr>
          <w:rFonts w:ascii="Calibri" w:hAnsi="Calibri"/>
          <w:b/>
          <w:color w:val="525866"/>
          <w:sz w:val="22"/>
        </w:rPr>
        <w:t xml:space="preserve">Pricing power in aggregates-adjacent products: </w:t>
      </w:r>
      <w:r>
        <w:rPr>
          <w:rFonts w:ascii="Calibri" w:hAnsi="Calibri"/>
          <w:color w:val="525866"/>
          <w:sz w:val="22"/>
        </w:rPr>
        <w:t>MLM CFO noted that lime pricing is "well over $200 a ton" with "nice pricing escalators" in long-term contracts, and that the secular pricing dynamic of lime is "better than that of aggregates." While lime is not VMC's product, this commentary reinforces the broader pricing power thesis in construction materials.</w:t>
      </w:r>
    </w:p>
    <w:p>
      <w:pPr>
        <w:pStyle w:val="ListBullet"/>
        <w:ind w:left="360" w:hanging="360"/>
      </w:pPr>
      <w:r>
        <w:rPr>
          <w:rFonts w:ascii="Calibri" w:hAnsi="Calibri"/>
          <w:b/>
          <w:color w:val="525866"/>
          <w:sz w:val="22"/>
        </w:rPr>
        <w:t xml:space="preserve">Sector M&amp;A signal: </w:t>
      </w:r>
      <w:r>
        <w:rPr>
          <w:rFonts w:ascii="Calibri" w:hAnsi="Calibri"/>
          <w:color w:val="525866"/>
          <w:sz w:val="22"/>
        </w:rPr>
        <w:t>MLM paying $13.5B (implied ~15x 2025 EBITDA including synergies) for a construction materials business validates the strategic value of aggregates-adjacent assets and supports VMC's premium valuation. The deal also signals that MLM sees multi-year demand visibility sufficient to justify the largest acquisition in its history.</w:t>
      </w:r>
    </w:p>
    <w:p>
      <w:pPr>
        <w:pStyle w:val="Heading3"/>
      </w:pPr>
      <w:r>
        <w:rPr>
          <w:rFonts w:ascii="Calibri" w:hAnsi="Calibri"/>
          <w:b/>
          <w:color w:val="3B4259"/>
          <w:sz w:val="24"/>
        </w:rPr>
        <w:t>CRH — $8.5B Arcosa Acquisition Announcement (June 22, 2026)</w:t>
      </w:r>
    </w:p>
    <w:p>
      <w:r>
        <w:rPr>
          <w:rFonts w:ascii="Calibri" w:hAnsi="Calibri"/>
          <w:b/>
          <w:color w:val="525866"/>
          <w:sz w:val="22"/>
        </w:rPr>
        <w:t xml:space="preserve">Classification: </w:t>
      </w:r>
      <w:r>
        <w:rPr>
          <w:rFonts w:ascii="Calibri" w:hAnsi="Calibri"/>
          <w:color w:val="525866"/>
          <w:sz w:val="22"/>
        </w:rPr>
        <w:t>Strategic M&amp;A announcement. Limited operating read-through; included for sector context only.</w:t>
      </w:r>
    </w:p>
    <w:p>
      <w:pPr>
        <w:pStyle w:val="ListBullet"/>
        <w:ind w:left="360" w:hanging="360"/>
      </w:pPr>
      <w:r>
        <w:rPr>
          <w:rFonts w:ascii="Calibri" w:hAnsi="Calibri"/>
          <w:b/>
          <w:color w:val="525866"/>
          <w:sz w:val="22"/>
        </w:rPr>
        <w:t xml:space="preserve">Infrastructure megatrend conviction: </w:t>
      </w:r>
      <w:r>
        <w:rPr>
          <w:rFonts w:ascii="Calibri" w:hAnsi="Calibri"/>
          <w:color w:val="525866"/>
          <w:sz w:val="22"/>
        </w:rPr>
        <w:t>CRH's decision to acquire Arcosa for $8.5B to "bolster its aggregates portfolio and capitalize on infrastructure megatrends" (per WSJ, June 22) is a second major data point in one month confirming that large-cap building materials companies see multi-year demand visibility. CRH secured a $2.5B term loan (July 17 8-K) to partially fund the deal, signaling financial commitment. Positive read-through for VMC's demand outlook.</w:t>
      </w:r>
    </w:p>
    <w:p>
      <w:pPr>
        <w:pStyle w:val="ListBullet"/>
        <w:ind w:left="360" w:hanging="360"/>
      </w:pPr>
      <w:r>
        <w:rPr>
          <w:rFonts w:ascii="Calibri" w:hAnsi="Calibri"/>
          <w:b/>
          <w:color w:val="525866"/>
          <w:sz w:val="22"/>
        </w:rPr>
        <w:t xml:space="preserve">No Q2 2026 operating commentary available: </w:t>
      </w:r>
      <w:r>
        <w:rPr>
          <w:rFonts w:ascii="Calibri" w:hAnsi="Calibri"/>
          <w:color w:val="525866"/>
          <w:sz w:val="22"/>
        </w:rPr>
        <w:t>CRH has not reported Q2 2026 results as of July 28, 2026. The June 16 8-K was a board appointment (non-operating). No eligible operating read-through from CRH for the current quarter.</w:t>
      </w:r>
    </w:p>
    <w:p>
      <w:pPr>
        <w:pStyle w:val="Heading2"/>
      </w:pPr>
      <w:r>
        <w:rPr>
          <w:rFonts w:ascii="Calibri" w:hAnsi="Calibri"/>
          <w:b/>
          <w:color w:val="3B4259"/>
          <w:sz w:val="28"/>
        </w:rPr>
        <w:t>B. Adjacent Materials Peer Read-Throughs (Q2 2026 Results)</w:t>
      </w:r>
    </w:p>
    <w:p>
      <w:r>
        <w:rPr>
          <w:rFonts w:ascii="Calibri" w:hAnsi="Calibri"/>
          <w:i/>
          <w:color w:val="525866"/>
          <w:sz w:val="22"/>
        </w:rPr>
        <w:t xml:space="preserve">Note: </w:t>
      </w:r>
      <w:r>
        <w:rPr>
          <w:rFonts w:ascii="Calibri" w:hAnsi="Calibri"/>
          <w:i/>
          <w:color w:val="525866"/>
          <w:sz w:val="22"/>
        </w:rPr>
        <w:t>The following peers have reported Q2 2026 results as of July 28, 2026. Their commentary is included where it contains explicit read-through for construction demand, infrastructure activity, or cost/pricing dynamics relevant to VMC's Q2 2026 setup.</w:t>
      </w:r>
    </w:p>
    <w:p>
      <w:pPr>
        <w:pStyle w:val="Heading3"/>
      </w:pPr>
      <w:r>
        <w:rPr>
          <w:rFonts w:ascii="Calibri" w:hAnsi="Calibri"/>
          <w:b/>
          <w:color w:val="3B4259"/>
          <w:sz w:val="24"/>
        </w:rPr>
        <w:t>Sherwin-Williams (SHW) — Q2 2026 Results (July 28, 2026)</w:t>
      </w:r>
    </w:p>
    <w:p>
      <w:r>
        <w:rPr>
          <w:rFonts w:ascii="Calibri" w:hAnsi="Calibri"/>
          <w:b/>
          <w:color w:val="525866"/>
          <w:sz w:val="22"/>
        </w:rPr>
        <w:t xml:space="preserve">Classification: </w:t>
      </w:r>
      <w:r>
        <w:rPr>
          <w:rFonts w:ascii="Calibri" w:hAnsi="Calibri"/>
          <w:color w:val="525866"/>
          <w:sz w:val="22"/>
        </w:rPr>
        <w:t>Q2 2026 earnings result with forward guidance. Adjacent read-through (coatings/construction end markets).</w:t>
      </w:r>
    </w:p>
    <w:p>
      <w:pPr>
        <w:pStyle w:val="ListBullet"/>
        <w:ind w:left="360" w:hanging="360"/>
      </w:pPr>
      <w:r>
        <w:rPr>
          <w:rFonts w:ascii="Calibri" w:hAnsi="Calibri"/>
          <w:b/>
          <w:color w:val="525866"/>
          <w:sz w:val="22"/>
        </w:rPr>
        <w:t xml:space="preserve">Strong Q2 beat with raised guidance: </w:t>
      </w:r>
      <w:r>
        <w:rPr>
          <w:rFonts w:ascii="Calibri" w:hAnsi="Calibri"/>
          <w:color w:val="525866"/>
          <w:sz w:val="22"/>
        </w:rPr>
        <w:t>SHW reported Q2 EPS of $3.70 vs. consensus $3.51 (+5.4% beat), with sales of $6.78B vs. $6.59B consensus (+2.9% beat). The company raised full-year EPS guidance to $11.80–$12.20 from $11.50–$11.90. Shares rose as much as 8.6% on the day.</w:t>
      </w:r>
    </w:p>
    <w:p>
      <w:pPr>
        <w:pStyle w:val="ListBullet"/>
        <w:ind w:left="360" w:hanging="360"/>
      </w:pPr>
      <w:r>
        <w:rPr>
          <w:rFonts w:ascii="Calibri" w:hAnsi="Calibri"/>
          <w:b/>
          <w:color w:val="525866"/>
          <w:sz w:val="22"/>
        </w:rPr>
        <w:t xml:space="preserve">Key read-through for VMC: </w:t>
      </w:r>
      <w:r>
        <w:rPr>
          <w:rFonts w:ascii="Calibri" w:hAnsi="Calibri"/>
          <w:color w:val="525866"/>
          <w:sz w:val="22"/>
        </w:rPr>
        <w:t>SHW's beat was driven by growth in autorefinish and industrial painting (per Mizuho), not residential construction — management explicitly noted "no meaningful improvement in demand" in residential. This is a mixed signal for VMC: non-residential and industrial demand is holding up (positive), but residential weakness persists (consistent with VMC's own guidance). The guidance raise despite soft residential demand suggests pricing power and operational execution can offset volume headwinds — a direct parallel to VMC's own thesis.</w:t>
      </w:r>
    </w:p>
    <w:p>
      <w:pPr>
        <w:pStyle w:val="ListBullet"/>
        <w:ind w:left="360" w:hanging="360"/>
      </w:pPr>
      <w:r>
        <w:rPr>
          <w:rFonts w:ascii="Calibri" w:hAnsi="Calibri"/>
          <w:b/>
          <w:color w:val="525866"/>
          <w:sz w:val="22"/>
        </w:rPr>
        <w:t xml:space="preserve">Implication for VMC: </w:t>
      </w:r>
      <w:r>
        <w:rPr>
          <w:rFonts w:ascii="Calibri" w:hAnsi="Calibri"/>
          <w:color w:val="525866"/>
          <w:sz w:val="22"/>
        </w:rPr>
        <w:t>Positive read-through on non-residential construction demand and pricing power. Neutral on residential. The guidance raise is a constructive signal for the broader construction materials complex heading into VMC's print.</w:t>
      </w:r>
    </w:p>
    <w:p>
      <w:pPr>
        <w:pStyle w:val="Heading3"/>
      </w:pPr>
      <w:r>
        <w:rPr>
          <w:rFonts w:ascii="Calibri" w:hAnsi="Calibri"/>
          <w:b/>
          <w:color w:val="3B4259"/>
          <w:sz w:val="24"/>
        </w:rPr>
        <w:t>Steel Dynamics (STLD) — Q2 2026 Results (July 21, 2026)</w:t>
      </w:r>
    </w:p>
    <w:p>
      <w:r>
        <w:rPr>
          <w:rFonts w:ascii="Calibri" w:hAnsi="Calibri"/>
          <w:b/>
          <w:color w:val="525866"/>
          <w:sz w:val="22"/>
        </w:rPr>
        <w:t xml:space="preserve">Classification: </w:t>
      </w:r>
      <w:r>
        <w:rPr>
          <w:rFonts w:ascii="Calibri" w:hAnsi="Calibri"/>
          <w:color w:val="525866"/>
          <w:sz w:val="22"/>
        </w:rPr>
        <w:t>Q2 2026 earnings result. Adjacent read-through (steel demand as a proxy for non-residential construction activity).</w:t>
      </w:r>
    </w:p>
    <w:p>
      <w:pPr>
        <w:pStyle w:val="ListBullet"/>
        <w:ind w:left="360" w:hanging="360"/>
      </w:pPr>
      <w:r>
        <w:rPr>
          <w:rFonts w:ascii="Calibri" w:hAnsi="Calibri"/>
          <w:b/>
          <w:color w:val="525866"/>
          <w:sz w:val="22"/>
        </w:rPr>
        <w:t xml:space="preserve">Strong Q2 beat on healthy steel fundamentals: </w:t>
      </w:r>
      <w:r>
        <w:rPr>
          <w:rFonts w:ascii="Calibri" w:hAnsi="Calibri"/>
          <w:color w:val="525866"/>
          <w:sz w:val="22"/>
        </w:rPr>
        <w:t>STLD reported Q2 EBITDA of $921M vs. consensus $884M (+4.2% beat) and sales of $6.1B vs. $5.58B consensus (+9.3% beat). Management cited "healthy steel industry fundamentals, including improved pricing, solid demand, and declining customer inventory levels that remain below historical norms, with extended steel backlogs and lead times."</w:t>
      </w:r>
    </w:p>
    <w:p>
      <w:pPr>
        <w:pStyle w:val="ListBullet"/>
        <w:ind w:left="360" w:hanging="360"/>
      </w:pPr>
      <w:r>
        <w:rPr>
          <w:rFonts w:ascii="Calibri" w:hAnsi="Calibri"/>
          <w:b/>
          <w:color w:val="525866"/>
          <w:sz w:val="22"/>
        </w:rPr>
        <w:t xml:space="preserve">Key read-through for VMC: </w:t>
      </w:r>
      <w:r>
        <w:rPr>
          <w:rFonts w:ascii="Calibri" w:hAnsi="Calibri"/>
          <w:color w:val="525866"/>
          <w:sz w:val="22"/>
        </w:rPr>
        <w:t>Declining steel customer inventories and extended backlogs are a leading indicator of continued non-residential construction activity — steel goes into the same data centers, warehouses, and infrastructure projects that consume VMC's aggregates. The demand commentary is a positive read-through for VMC's Q2 volume outlook.</w:t>
      </w:r>
    </w:p>
    <w:p>
      <w:pPr>
        <w:pStyle w:val="ListBullet"/>
        <w:ind w:left="360" w:hanging="360"/>
      </w:pPr>
      <w:r>
        <w:rPr>
          <w:rFonts w:ascii="Calibri" w:hAnsi="Calibri"/>
          <w:b/>
          <w:color w:val="525866"/>
          <w:sz w:val="22"/>
        </w:rPr>
        <w:t xml:space="preserve">Implication for VMC: </w:t>
      </w:r>
      <w:r>
        <w:rPr>
          <w:rFonts w:ascii="Calibri" w:hAnsi="Calibri"/>
          <w:color w:val="525866"/>
          <w:sz w:val="22"/>
        </w:rPr>
        <w:t>Positive read-through on non-residential construction demand. Steel backlogs and pricing strength suggest the large project pipeline VMC has cited (data centers, LNG, warehouses) is converting to real activity.</w:t>
      </w:r>
    </w:p>
    <w:p>
      <w:pPr>
        <w:pStyle w:val="Heading3"/>
      </w:pPr>
      <w:r>
        <w:rPr>
          <w:rFonts w:ascii="Calibri" w:hAnsi="Calibri"/>
          <w:b/>
          <w:color w:val="3B4259"/>
          <w:sz w:val="24"/>
        </w:rPr>
        <w:t>Nucor (NUE) — Q2 2026 Results (July 27, 2026)</w:t>
      </w:r>
    </w:p>
    <w:p>
      <w:r>
        <w:rPr>
          <w:rFonts w:ascii="Calibri" w:hAnsi="Calibri"/>
          <w:b/>
          <w:color w:val="525866"/>
          <w:sz w:val="22"/>
        </w:rPr>
        <w:t xml:space="preserve">Classification: </w:t>
      </w:r>
      <w:r>
        <w:rPr>
          <w:rFonts w:ascii="Calibri" w:hAnsi="Calibri"/>
          <w:color w:val="525866"/>
          <w:sz w:val="22"/>
        </w:rPr>
        <w:t>Q2 2026 earnings result. Adjacent read-through (steel demand / non-residential construction).</w:t>
      </w:r>
    </w:p>
    <w:p>
      <w:pPr>
        <w:pStyle w:val="ListBullet"/>
        <w:ind w:left="360" w:hanging="360"/>
      </w:pPr>
      <w:r>
        <w:rPr>
          <w:rFonts w:ascii="Calibri" w:hAnsi="Calibri"/>
          <w:b/>
          <w:color w:val="525866"/>
          <w:sz w:val="22"/>
        </w:rPr>
        <w:t xml:space="preserve">Q2 beat driven by higher prices and volumes: </w:t>
      </w:r>
      <w:r>
        <w:rPr>
          <w:rFonts w:ascii="Calibri" w:hAnsi="Calibri"/>
          <w:color w:val="525866"/>
          <w:sz w:val="22"/>
        </w:rPr>
        <w:t>NUE reported Q2 EPS of $4.84 vs. consensus $4.50 (+7.6% beat), EBITDA of $2.02B vs. $1.92B (+5.2% beat), and sales of $10.4B vs. $10.0B (+4.0% beat). The beat was driven by higher average selling prices and higher volumes in the steel mills segment.</w:t>
      </w:r>
    </w:p>
    <w:p>
      <w:pPr>
        <w:pStyle w:val="ListBullet"/>
        <w:ind w:left="360" w:hanging="360"/>
      </w:pPr>
      <w:r>
        <w:rPr>
          <w:rFonts w:ascii="Calibri" w:hAnsi="Calibri"/>
          <w:b/>
          <w:color w:val="525866"/>
          <w:sz w:val="22"/>
        </w:rPr>
        <w:t xml:space="preserve">Key read-through for VMC: </w:t>
      </w:r>
      <w:r>
        <w:rPr>
          <w:rFonts w:ascii="Calibri" w:hAnsi="Calibri"/>
          <w:color w:val="525866"/>
          <w:sz w:val="22"/>
        </w:rPr>
        <w:t>NUE's volume and pricing beat in steel mills is consistent with STLD's commentary on healthy non-residential construction demand. Both steel companies beating on volume and price in Q2 2026 is a positive leading indicator for aggregates demand in the same quarter.</w:t>
      </w:r>
    </w:p>
    <w:p>
      <w:pPr>
        <w:pStyle w:val="ListBullet"/>
        <w:ind w:left="360" w:hanging="360"/>
      </w:pPr>
      <w:r>
        <w:rPr>
          <w:rFonts w:ascii="Calibri" w:hAnsi="Calibri"/>
          <w:b/>
          <w:color w:val="525866"/>
          <w:sz w:val="22"/>
        </w:rPr>
        <w:t xml:space="preserve">Implication for VMC: </w:t>
      </w:r>
      <w:r>
        <w:rPr>
          <w:rFonts w:ascii="Calibri" w:hAnsi="Calibri"/>
          <w:color w:val="525866"/>
          <w:sz w:val="22"/>
        </w:rPr>
        <w:t>Positive read-through on Q2 construction activity. Steel volume beats from both NUE and STLD reduce the risk of a VMC volume miss in Q2.</w:t>
      </w:r>
    </w:p>
    <w:p>
      <w:pPr>
        <w:pStyle w:val="Heading3"/>
      </w:pPr>
      <w:r>
        <w:rPr>
          <w:rFonts w:ascii="Calibri" w:hAnsi="Calibri"/>
          <w:b/>
          <w:color w:val="3B4259"/>
          <w:sz w:val="24"/>
        </w:rPr>
        <w:t>Dow Inc. (DOW) — Q2 2026 Results (July 23, 2026)</w:t>
      </w:r>
    </w:p>
    <w:p>
      <w:r>
        <w:rPr>
          <w:rFonts w:ascii="Calibri" w:hAnsi="Calibri"/>
          <w:b/>
          <w:color w:val="525866"/>
          <w:sz w:val="22"/>
        </w:rPr>
        <w:t xml:space="preserve">Classification: </w:t>
      </w:r>
      <w:r>
        <w:rPr>
          <w:rFonts w:ascii="Calibri" w:hAnsi="Calibri"/>
          <w:color w:val="525866"/>
          <w:sz w:val="22"/>
        </w:rPr>
        <w:t>Q2 2026 earnings result. Partial read-through (construction chemicals, housing demand commentary).</w:t>
      </w:r>
    </w:p>
    <w:p>
      <w:pPr>
        <w:pStyle w:val="ListBullet"/>
        <w:ind w:left="360" w:hanging="360"/>
      </w:pPr>
      <w:r>
        <w:rPr>
          <w:rFonts w:ascii="Calibri" w:hAnsi="Calibri"/>
          <w:b/>
          <w:color w:val="525866"/>
          <w:sz w:val="22"/>
        </w:rPr>
        <w:t xml:space="preserve">Q2 beat but Q3 guidance below consensus: </w:t>
      </w:r>
      <w:r>
        <w:rPr>
          <w:rFonts w:ascii="Calibri" w:hAnsi="Calibri"/>
          <w:color w:val="525866"/>
          <w:sz w:val="22"/>
        </w:rPr>
        <w:t>DOW reported Q2 EPS of $1.44 vs. consensus $1.31 (+9.9% beat), with sales of $12.09B vs. $11.92B (+1.4% beat). However, Q3 EBITDA guidance of $1.75B fell short of Street expectations of $1.86B. Management cited resilient global packaging demand and robust data center demand, but noted that "China's consumer demand remains soft and uneven, and the U.S. housing market remains weak due to affordability concerns and high mortgage rates."</w:t>
      </w:r>
    </w:p>
    <w:p>
      <w:pPr>
        <w:pStyle w:val="ListBullet"/>
        <w:ind w:left="360" w:hanging="360"/>
      </w:pPr>
      <w:r>
        <w:rPr>
          <w:rFonts w:ascii="Calibri" w:hAnsi="Calibri"/>
          <w:b/>
          <w:color w:val="525866"/>
          <w:sz w:val="22"/>
        </w:rPr>
        <w:t xml:space="preserve">Key read-through for VMC: </w:t>
      </w:r>
      <w:r>
        <w:rPr>
          <w:rFonts w:ascii="Calibri" w:hAnsi="Calibri"/>
          <w:color w:val="525866"/>
          <w:sz w:val="22"/>
        </w:rPr>
        <w:t>DOW's explicit commentary that the U.S. housing market "remains weak due to affordability concerns and high mortgage rates" is consistent with VMC's own guidance that residential construction is the weakest end market. This is not a new negative — VMC has already guided for residential weakness — but it confirms the headwind is persisting into Q2 2026.</w:t>
      </w:r>
    </w:p>
    <w:p>
      <w:pPr>
        <w:pStyle w:val="ListBullet"/>
        <w:ind w:left="360" w:hanging="360"/>
      </w:pPr>
      <w:r>
        <w:rPr>
          <w:rFonts w:ascii="Calibri" w:hAnsi="Calibri"/>
          <w:b/>
          <w:color w:val="525866"/>
          <w:sz w:val="22"/>
        </w:rPr>
        <w:t xml:space="preserve">Implication for VMC: </w:t>
      </w:r>
      <w:r>
        <w:rPr>
          <w:rFonts w:ascii="Calibri" w:hAnsi="Calibri"/>
          <w:color w:val="525866"/>
          <w:sz w:val="22"/>
        </w:rPr>
        <w:t>Neutral-to-slightly-negative read-through on residential construction. Positive on data center demand. The Q3 guidance miss at DOW is a reminder that cost headwinds (energy, restructuring) can weigh on margins even when demand is solid.</w:t>
      </w:r>
    </w:p>
    <w:p>
      <w:pPr>
        <w:pStyle w:val="Heading2"/>
      </w:pPr>
      <w:r>
        <w:rPr>
          <w:rFonts w:ascii="Calibri" w:hAnsi="Calibri"/>
          <w:b/>
          <w:color w:val="3B4259"/>
          <w:sz w:val="28"/>
        </w:rPr>
        <w:t>C.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Commentary Type</w:t>
            </w:r>
          </w:p>
        </w:tc>
        <w:tc>
          <w:tcPr>
            <w:tcW w:type="dxa" w:w="1728"/>
            <w:shd w:val="clear" w:color="auto" w:fill="3B4259"/>
          </w:tcPr>
          <w:p>
            <w:r>
              <w:rPr>
                <w:rFonts w:ascii="Calibri" w:hAnsi="Calibri"/>
                <w:b/>
                <w:color w:val="FFFFFF"/>
                <w:sz w:val="22"/>
              </w:rPr>
              <w:t>Key Read-Through for VMC</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MLM</w:t>
            </w:r>
          </w:p>
        </w:tc>
        <w:tc>
          <w:tcPr>
            <w:tcW w:type="dxa" w:w="1728"/>
          </w:tcPr>
          <w:p>
            <w:r>
              <w:rPr>
                <w:rFonts w:ascii="Calibri" w:hAnsi="Calibri"/>
                <w:sz w:val="22"/>
              </w:rPr>
              <w:t>Jun 29, 2026</w:t>
            </w:r>
          </w:p>
        </w:tc>
        <w:tc>
          <w:tcPr>
            <w:tcW w:type="dxa" w:w="1728"/>
          </w:tcPr>
          <w:p>
            <w:r>
              <w:rPr>
                <w:rFonts w:ascii="Calibri" w:hAnsi="Calibri"/>
                <w:sz w:val="22"/>
              </w:rPr>
              <w:t>M&amp;A call — forward demand commentary</w:t>
            </w:r>
          </w:p>
        </w:tc>
        <w:tc>
          <w:tcPr>
            <w:tcW w:type="dxa" w:w="1728"/>
          </w:tcPr>
          <w:p>
            <w:r>
              <w:rPr>
                <w:rFonts w:ascii="Calibri" w:hAnsi="Calibri"/>
                <w:sz w:val="22"/>
              </w:rPr>
              <w:t>Texas demand outpacing U.S.; data centers accelerating; infrastructure tailwinds confirmed; $13.5B deal validates sector strategic value</w:t>
            </w:r>
          </w:p>
        </w:tc>
        <w:tc>
          <w:tcPr>
            <w:tcW w:type="dxa" w:w="1728"/>
          </w:tcPr>
          <w:p>
            <w:r>
              <w:rPr>
                <w:rFonts w:ascii="Calibri" w:hAnsi="Calibri"/>
                <w:b/>
                <w:color w:val="30A46C"/>
                <w:sz w:val="22"/>
              </w:rPr>
              <w:t>Positive</w:t>
            </w:r>
          </w:p>
        </w:tc>
      </w:tr>
      <w:tr>
        <w:tc>
          <w:tcPr>
            <w:tcW w:type="dxa" w:w="1728"/>
          </w:tcPr>
          <w:p>
            <w:r>
              <w:rPr>
                <w:rFonts w:ascii="Calibri" w:hAnsi="Calibri"/>
                <w:sz w:val="22"/>
              </w:rPr>
              <w:t>CRH</w:t>
            </w:r>
          </w:p>
        </w:tc>
        <w:tc>
          <w:tcPr>
            <w:tcW w:type="dxa" w:w="1728"/>
          </w:tcPr>
          <w:p>
            <w:r>
              <w:rPr>
                <w:rFonts w:ascii="Calibri" w:hAnsi="Calibri"/>
                <w:sz w:val="22"/>
              </w:rPr>
              <w:t>Jun 22, 2026</w:t>
            </w:r>
          </w:p>
        </w:tc>
        <w:tc>
          <w:tcPr>
            <w:tcW w:type="dxa" w:w="1728"/>
          </w:tcPr>
          <w:p>
            <w:r>
              <w:rPr>
                <w:rFonts w:ascii="Calibri" w:hAnsi="Calibri"/>
                <w:sz w:val="22"/>
              </w:rPr>
              <w:t>M&amp;A announcement — sector context only</w:t>
            </w:r>
          </w:p>
        </w:tc>
        <w:tc>
          <w:tcPr>
            <w:tcW w:type="dxa" w:w="1728"/>
          </w:tcPr>
          <w:p>
            <w:r>
              <w:rPr>
                <w:rFonts w:ascii="Calibri" w:hAnsi="Calibri"/>
                <w:sz w:val="22"/>
              </w:rPr>
              <w:t>$8.5B Arcosa deal confirms infrastructure megatrend conviction; no Q2 operating commentary available</w:t>
            </w:r>
          </w:p>
        </w:tc>
        <w:tc>
          <w:tcPr>
            <w:tcW w:type="dxa" w:w="1728"/>
          </w:tcPr>
          <w:p>
            <w:r>
              <w:rPr>
                <w:rFonts w:ascii="Calibri" w:hAnsi="Calibri"/>
                <w:b/>
                <w:color w:val="30A46C"/>
                <w:sz w:val="22"/>
              </w:rPr>
              <w:t>Positive (strategic)</w:t>
            </w:r>
          </w:p>
        </w:tc>
      </w:tr>
      <w:tr>
        <w:tc>
          <w:tcPr>
            <w:tcW w:type="dxa" w:w="1728"/>
          </w:tcPr>
          <w:p>
            <w:r>
              <w:rPr>
                <w:rFonts w:ascii="Calibri" w:hAnsi="Calibri"/>
                <w:sz w:val="22"/>
              </w:rPr>
              <w:t>SHW</w:t>
            </w:r>
          </w:p>
        </w:tc>
        <w:tc>
          <w:tcPr>
            <w:tcW w:type="dxa" w:w="1728"/>
          </w:tcPr>
          <w:p>
            <w:r>
              <w:rPr>
                <w:rFonts w:ascii="Calibri" w:hAnsi="Calibri"/>
                <w:sz w:val="22"/>
              </w:rPr>
              <w:t>Jul 28, 2026</w:t>
            </w:r>
          </w:p>
        </w:tc>
        <w:tc>
          <w:tcPr>
            <w:tcW w:type="dxa" w:w="1728"/>
          </w:tcPr>
          <w:p>
            <w:r>
              <w:rPr>
                <w:rFonts w:ascii="Calibri" w:hAnsi="Calibri"/>
                <w:sz w:val="22"/>
              </w:rPr>
              <w:t>Q2 2026 earnings — operating read-through</w:t>
            </w:r>
          </w:p>
        </w:tc>
        <w:tc>
          <w:tcPr>
            <w:tcW w:type="dxa" w:w="1728"/>
          </w:tcPr>
          <w:p>
            <w:r>
              <w:rPr>
                <w:rFonts w:ascii="Calibri" w:hAnsi="Calibri"/>
                <w:sz w:val="22"/>
              </w:rPr>
              <w:t>Non-res/industrial demand solid; guidance raised despite "no meaningful improvement" in residential; pricing power intact</w:t>
            </w:r>
          </w:p>
        </w:tc>
        <w:tc>
          <w:tcPr>
            <w:tcW w:type="dxa" w:w="1728"/>
          </w:tcPr>
          <w:p>
            <w:r>
              <w:rPr>
                <w:rFonts w:ascii="Calibri" w:hAnsi="Calibri"/>
                <w:b/>
                <w:color w:val="30A46C"/>
                <w:sz w:val="22"/>
              </w:rPr>
              <w:t>Positive</w:t>
            </w:r>
          </w:p>
        </w:tc>
      </w:tr>
      <w:tr>
        <w:tc>
          <w:tcPr>
            <w:tcW w:type="dxa" w:w="1728"/>
          </w:tcPr>
          <w:p>
            <w:r>
              <w:rPr>
                <w:rFonts w:ascii="Calibri" w:hAnsi="Calibri"/>
                <w:sz w:val="22"/>
              </w:rPr>
              <w:t>STLD</w:t>
            </w:r>
          </w:p>
        </w:tc>
        <w:tc>
          <w:tcPr>
            <w:tcW w:type="dxa" w:w="1728"/>
          </w:tcPr>
          <w:p>
            <w:r>
              <w:rPr>
                <w:rFonts w:ascii="Calibri" w:hAnsi="Calibri"/>
                <w:sz w:val="22"/>
              </w:rPr>
              <w:t>Jul 21, 2026</w:t>
            </w:r>
          </w:p>
        </w:tc>
        <w:tc>
          <w:tcPr>
            <w:tcW w:type="dxa" w:w="1728"/>
          </w:tcPr>
          <w:p>
            <w:r>
              <w:rPr>
                <w:rFonts w:ascii="Calibri" w:hAnsi="Calibri"/>
                <w:sz w:val="22"/>
              </w:rPr>
              <w:t>Q2 2026 earnings — operating read-through</w:t>
            </w:r>
          </w:p>
        </w:tc>
        <w:tc>
          <w:tcPr>
            <w:tcW w:type="dxa" w:w="1728"/>
          </w:tcPr>
          <w:p>
            <w:r>
              <w:rPr>
                <w:rFonts w:ascii="Calibri" w:hAnsi="Calibri"/>
                <w:sz w:val="22"/>
              </w:rPr>
              <w:t>Healthy non-res construction demand; declining inventories; extended backlogs — positive for VMC volume</w:t>
            </w:r>
          </w:p>
        </w:tc>
        <w:tc>
          <w:tcPr>
            <w:tcW w:type="dxa" w:w="1728"/>
          </w:tcPr>
          <w:p>
            <w:r>
              <w:rPr>
                <w:rFonts w:ascii="Calibri" w:hAnsi="Calibri"/>
                <w:b/>
                <w:color w:val="30A46C"/>
                <w:sz w:val="22"/>
              </w:rPr>
              <w:t>Positive</w:t>
            </w:r>
          </w:p>
        </w:tc>
      </w:tr>
      <w:tr>
        <w:tc>
          <w:tcPr>
            <w:tcW w:type="dxa" w:w="1728"/>
          </w:tcPr>
          <w:p>
            <w:r>
              <w:rPr>
                <w:rFonts w:ascii="Calibri" w:hAnsi="Calibri"/>
                <w:sz w:val="22"/>
              </w:rPr>
              <w:t>NUE</w:t>
            </w:r>
          </w:p>
        </w:tc>
        <w:tc>
          <w:tcPr>
            <w:tcW w:type="dxa" w:w="1728"/>
          </w:tcPr>
          <w:p>
            <w:r>
              <w:rPr>
                <w:rFonts w:ascii="Calibri" w:hAnsi="Calibri"/>
                <w:sz w:val="22"/>
              </w:rPr>
              <w:t>Jul 27, 2026</w:t>
            </w:r>
          </w:p>
        </w:tc>
        <w:tc>
          <w:tcPr>
            <w:tcW w:type="dxa" w:w="1728"/>
          </w:tcPr>
          <w:p>
            <w:r>
              <w:rPr>
                <w:rFonts w:ascii="Calibri" w:hAnsi="Calibri"/>
                <w:sz w:val="22"/>
              </w:rPr>
              <w:t>Q2 2026 earnings — operating read-through</w:t>
            </w:r>
          </w:p>
        </w:tc>
        <w:tc>
          <w:tcPr>
            <w:tcW w:type="dxa" w:w="1728"/>
          </w:tcPr>
          <w:p>
            <w:r>
              <w:rPr>
                <w:rFonts w:ascii="Calibri" w:hAnsi="Calibri"/>
                <w:sz w:val="22"/>
              </w:rPr>
              <w:t>Higher steel prices and volumes in Q2; confirms non-res construction activity; positive leading indicator for aggregates demand</w:t>
            </w:r>
          </w:p>
        </w:tc>
        <w:tc>
          <w:tcPr>
            <w:tcW w:type="dxa" w:w="1728"/>
          </w:tcPr>
          <w:p>
            <w:r>
              <w:rPr>
                <w:rFonts w:ascii="Calibri" w:hAnsi="Calibri"/>
                <w:b/>
                <w:color w:val="30A46C"/>
                <w:sz w:val="22"/>
              </w:rPr>
              <w:t>Positive</w:t>
            </w:r>
          </w:p>
        </w:tc>
      </w:tr>
      <w:tr>
        <w:tc>
          <w:tcPr>
            <w:tcW w:type="dxa" w:w="1728"/>
          </w:tcPr>
          <w:p>
            <w:r>
              <w:rPr>
                <w:rFonts w:ascii="Calibri" w:hAnsi="Calibri"/>
                <w:sz w:val="22"/>
              </w:rPr>
              <w:t>DOW</w:t>
            </w:r>
          </w:p>
        </w:tc>
        <w:tc>
          <w:tcPr>
            <w:tcW w:type="dxa" w:w="1728"/>
          </w:tcPr>
          <w:p>
            <w:r>
              <w:rPr>
                <w:rFonts w:ascii="Calibri" w:hAnsi="Calibri"/>
                <w:sz w:val="22"/>
              </w:rPr>
              <w:t>Jul 23, 2026</w:t>
            </w:r>
          </w:p>
        </w:tc>
        <w:tc>
          <w:tcPr>
            <w:tcW w:type="dxa" w:w="1728"/>
          </w:tcPr>
          <w:p>
            <w:r>
              <w:rPr>
                <w:rFonts w:ascii="Calibri" w:hAnsi="Calibri"/>
                <w:sz w:val="22"/>
              </w:rPr>
              <w:t>Q2 2026 earnings — operating read-through</w:t>
            </w:r>
          </w:p>
        </w:tc>
        <w:tc>
          <w:tcPr>
            <w:tcW w:type="dxa" w:w="1728"/>
          </w:tcPr>
          <w:p>
            <w:r>
              <w:rPr>
                <w:rFonts w:ascii="Calibri" w:hAnsi="Calibri"/>
                <w:sz w:val="22"/>
              </w:rPr>
              <w:t>U.S. housing "remains weak" (consistent with VMC guidance); data center demand robust; Q3 guidance miss signals energy cost risk</w:t>
            </w:r>
          </w:p>
        </w:tc>
        <w:tc>
          <w:tcPr>
            <w:tcW w:type="dxa" w:w="1728"/>
          </w:tcPr>
          <w:p>
            <w:r>
              <w:rPr>
                <w:rFonts w:ascii="Calibri" w:hAnsi="Calibri"/>
                <w:b/>
                <w:color w:val="002FA7"/>
                <w:sz w:val="22"/>
              </w:rPr>
              <w:t>Mixed</w:t>
            </w:r>
          </w:p>
        </w:tc>
      </w:tr>
      <w:tr>
        <w:tc>
          <w:tcPr>
            <w:tcW w:type="dxa" w:w="1728"/>
          </w:tcPr>
          <w:p>
            <w:r>
              <w:rPr>
                <w:rFonts w:ascii="Calibri" w:hAnsi="Calibri"/>
                <w:sz w:val="22"/>
              </w:rPr>
              <w:t>MLM / CRH (Q2 earnings)</w:t>
            </w:r>
          </w:p>
        </w:tc>
        <w:tc>
          <w:tcPr>
            <w:tcW w:type="dxa" w:w="1728"/>
          </w:tcPr>
          <w:p>
            <w:r>
              <w:rPr>
                <w:rFonts w:ascii="Calibri" w:hAnsi="Calibri"/>
                <w:sz w:val="22"/>
              </w:rPr>
              <w:t>Not yet reported</w:t>
            </w:r>
          </w:p>
        </w:tc>
        <w:tc>
          <w:tcPr>
            <w:tcW w:type="dxa" w:w="1728"/>
          </w:tcPr>
          <w:p>
            <w:r>
              <w:rPr>
                <w:rFonts w:ascii="Calibri" w:hAnsi="Calibri"/>
                <w:sz w:val="22"/>
              </w:rPr>
              <w:t>N/A — not available</w:t>
            </w:r>
          </w:p>
        </w:tc>
        <w:tc>
          <w:tcPr>
            <w:tcW w:type="dxa" w:w="1728"/>
          </w:tcPr>
          <w:p>
            <w:r>
              <w:rPr>
                <w:rFonts w:ascii="Calibri" w:hAnsi="Calibri"/>
                <w:sz w:val="22"/>
              </w:rPr>
              <w:t>Closest direct peers have not reported Q2 2026 as of July 28, 2026; no eligible operating read-through</w:t>
            </w:r>
          </w:p>
        </w:tc>
        <w:tc>
          <w:tcPr>
            <w:tcW w:type="dxa" w:w="1728"/>
          </w:tcPr>
          <w:p>
            <w:r>
              <w:rPr>
                <w:rFonts w:ascii="Calibri" w:hAnsi="Calibri"/>
                <w:sz w:val="22"/>
              </w:rPr>
              <w:t>N/A</w:t>
            </w:r>
          </w:p>
        </w:tc>
      </w:tr>
    </w:tbl>
    <w:p>
      <w:r>
        <w:rPr>
          <w:rFonts w:ascii="Calibri" w:hAnsi="Calibri"/>
          <w:b/>
          <w:color w:val="525866"/>
          <w:sz w:val="22"/>
        </w:rPr>
        <w:t xml:space="preserve">Overall Peer Read-Through Assessment: </w:t>
      </w:r>
      <w:r>
        <w:rPr>
          <w:rFonts w:ascii="Calibri" w:hAnsi="Calibri"/>
          <w:color w:val="525866"/>
          <w:sz w:val="22"/>
        </w:rPr>
        <w:t>The peer commentary picture heading into VMC's Q2 2026 print is predominantly positive. Non-residential construction demand is holding up (STLD, NUE both beat on volume and price), pricing power is intact across the materials complex (SHW raised guidance), and the sector's strategic value is being validated by two major M&amp;A deals (MLM/Lhoist, CRH/Arcosa). The primary risk flagged by peers is residential weakness (DOW) and energy cost headwinds (DOW Q3 guidance miss) — both of which VMC has already guided for. The absence of Q2 earnings from MLM and CRH (VMC's closest direct peers) limits the precision of the read-through, but the adjacent data points are constructive.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Insider activity since Q1 2026 earnings is minimal and unremarkable — one small open-market sale by a Senior VP in mid-June, with no open-market purchases and no clustered selling. The absence of insider buying is not a negative signal given the stock's recent underperformance; the absence of clustered selling is modestly reassuring.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Clement, David P.</w:t>
            </w:r>
          </w:p>
        </w:tc>
        <w:tc>
          <w:tcPr>
            <w:tcW w:type="dxa" w:w="1440"/>
          </w:tcPr>
          <w:p>
            <w:r>
              <w:rPr>
                <w:rFonts w:ascii="Calibri" w:hAnsi="Calibri"/>
                <w:sz w:val="22"/>
              </w:rPr>
              <w:t>Senior Vice President</w:t>
            </w:r>
          </w:p>
        </w:tc>
        <w:tc>
          <w:tcPr>
            <w:tcW w:type="dxa" w:w="1440"/>
          </w:tcPr>
          <w:p>
            <w:r>
              <w:rPr>
                <w:rFonts w:ascii="Calibri" w:hAnsi="Calibri"/>
                <w:sz w:val="22"/>
              </w:rPr>
              <w:t>Open Market Sale (Code S)</w:t>
            </w:r>
          </w:p>
        </w:tc>
        <w:tc>
          <w:tcPr>
            <w:tcW w:type="dxa" w:w="1440"/>
          </w:tcPr>
          <w:p>
            <w:r>
              <w:rPr>
                <w:rFonts w:ascii="Calibri" w:hAnsi="Calibri"/>
                <w:sz w:val="22"/>
              </w:rPr>
              <w:t>$647,101 (2,212 shares @ $292.29)</w:t>
            </w:r>
          </w:p>
        </w:tc>
        <w:tc>
          <w:tcPr>
            <w:tcW w:type="dxa" w:w="1440"/>
          </w:tcPr>
          <w:p>
            <w:r>
              <w:rPr>
                <w:rFonts w:ascii="Calibri" w:hAnsi="Calibri"/>
                <w:sz w:val="22"/>
              </w:rPr>
              <w:t>Jun 15, 2026 (filed Jun 16, 2026)</w:t>
            </w:r>
          </w:p>
        </w:tc>
        <w:tc>
          <w:tcPr>
            <w:tcW w:type="dxa" w:w="1440"/>
          </w:tcPr>
          <w:p>
            <w:r>
              <w:rPr>
                <w:rFonts w:ascii="Calibri" w:hAnsi="Calibri"/>
                <w:sz w:val="22"/>
              </w:rPr>
              <w:t>Discretionary sale; no 10b5-1 plan indicated in filing. Small in size relative to typical insider transactions; not a clustered or unusual sale.</w:t>
            </w:r>
          </w:p>
        </w:tc>
      </w:tr>
    </w:tbl>
    <w:p>
      <w:r>
        <w:rPr>
          <w:rFonts w:ascii="Calibri" w:hAnsi="Calibri"/>
          <w:b/>
          <w:color w:val="525866"/>
          <w:sz w:val="22"/>
        </w:rPr>
        <w:t xml:space="preserve">Additional Context: </w:t>
      </w:r>
      <w:r>
        <w:rPr>
          <w:rFonts w:ascii="Calibri" w:hAnsi="Calibri"/>
          <w:color w:val="525866"/>
          <w:sz w:val="22"/>
        </w:rPr>
        <w:t>Multiple directors and officers filed Form 4s in the period (Anderson Melissa H., Carlisle Mary Andrews — SVP &amp; CFO, Fanning Thomas A., Hall Grayson, Hostetler Cynthia Lynn, Kennard Lydia H., O'Brien Richard T., Prokopanko James T., Quirk Kathleen L., Shah Mitesh Bansilal — SVP &amp; CHRO, Steiner David P., Styslinger Lee J. III, Willis George), but all reported transactions were grants (Code A), vesting, or exercises (Code M) — not open-market purchases or sales. No open-market purchases were reported by any insider in the period. The overall insider picture is quiet and unremarkable.</w:t>
      </w:r>
    </w:p>
    <w:p>
      <w:r>
        <w:rPr>
          <w:rFonts w:ascii="Calibri" w:hAnsi="Calibri"/>
          <w:i/>
          <w:color w:val="525866"/>
          <w:sz w:val="22"/>
        </w:rPr>
        <w:t xml:space="preserve">Source: </w:t>
      </w:r>
      <w:r>
        <w:rPr>
          <w:rFonts w:ascii="Calibri" w:hAnsi="Calibri"/>
          <w:i/>
          <w:color w:val="525866"/>
          <w:sz w:val="22"/>
        </w:rPr>
        <w:t>SEC Form 4 filings for VMC (January–July 2026), accessed via SEC EDGAR.</w:t>
      </w:r>
    </w:p>
    <w:p>
      <w:r>
        <w:br w:type="page"/>
      </w:r>
    </w:p>
    <w:p>
      <w:pPr>
        <w:pStyle w:val="Heading1"/>
        <w:pBdr>
          <w:bottom w:val="single" w:sz="4" w:space="1" w:color="FB9120"/>
        </w:pBdr>
      </w:pPr>
      <w:r>
        <w:rPr>
          <w:rFonts w:ascii="Calibri" w:hAnsi="Calibri"/>
          <w:b/>
          <w:color w:val="3B4259"/>
          <w:sz w:val="40"/>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EPS (Diluted, Continuing Ops, Operating), Total Revenues, EBITDA, Volume — Aggregates Shipments excl. acquisitions, Average Realized Price — Aggregates, Cash Gross Profit per Unit — Aggregates. Source: https://insights.visiblealpha.com/mex/VMC_US/NMV/</w:t>
      </w:r>
    </w:p>
    <w:p>
      <w:pPr>
        <w:pStyle w:val="ListBullet"/>
        <w:ind w:left="360" w:hanging="360"/>
      </w:pPr>
      <w:r>
        <w:rPr>
          <w:rFonts w:ascii="Calibri" w:hAnsi="Calibri"/>
          <w:b/>
          <w:color w:val="525866"/>
          <w:sz w:val="22"/>
        </w:rPr>
        <w:t>VMC Q1 2026 Earnings Release</w:t>
      </w:r>
      <w:r>
        <w:rPr>
          <w:rFonts w:ascii="Calibri" w:hAnsi="Calibri"/>
          <w:color w:val="525866"/>
          <w:sz w:val="22"/>
        </w:rPr>
        <w:t xml:space="preserve"> (April 29, 2026) — Q1 2026 actuals, full-year guidance, capital allocation. Source: documents/VMC/Earnings Release/2026Q1/raw_document.pdf</w:t>
      </w:r>
    </w:p>
    <w:p>
      <w:pPr>
        <w:pStyle w:val="ListBullet"/>
        <w:ind w:left="360" w:hanging="360"/>
      </w:pPr>
      <w:r>
        <w:rPr>
          <w:rFonts w:ascii="Calibri" w:hAnsi="Calibri"/>
          <w:b/>
          <w:color w:val="525866"/>
          <w:sz w:val="22"/>
        </w:rPr>
        <w:t>VMC Q1 2026 Earnings Call Transcript</w:t>
      </w:r>
      <w:r>
        <w:rPr>
          <w:rFonts w:ascii="Calibri" w:hAnsi="Calibri"/>
          <w:color w:val="525866"/>
          <w:sz w:val="22"/>
        </w:rPr>
        <w:t xml:space="preserve"> (April 29, 2026) — Management commentary on Q2 diesel headwind, pricing, volumes, IIJA, California divestiture. Source: documents/VMC/transcript/earnings/2026Q1/raw_document.txt</w:t>
      </w:r>
    </w:p>
    <w:p>
      <w:pPr>
        <w:pStyle w:val="ListBullet"/>
        <w:ind w:left="360" w:hanging="360"/>
      </w:pPr>
      <w:r>
        <w:rPr>
          <w:rFonts w:ascii="Calibri" w:hAnsi="Calibri"/>
          <w:b/>
          <w:color w:val="525866"/>
          <w:sz w:val="22"/>
        </w:rPr>
        <w:t>VMC NAFTA Arbitration Press Release / 8-K</w:t>
      </w:r>
      <w:r>
        <w:rPr>
          <w:rFonts w:ascii="Calibri" w:hAnsi="Calibri"/>
          <w:color w:val="525866"/>
          <w:sz w:val="22"/>
        </w:rPr>
        <w:t xml:space="preserve"> (July 27, 2026) — NAFTA tribunal decision, ~$15M award. Source: documents/VMC/8K/000114036126029775/</w:t>
      </w:r>
    </w:p>
    <w:p>
      <w:pPr>
        <w:pStyle w:val="ListBullet"/>
        <w:ind w:left="360" w:hanging="360"/>
      </w:pPr>
      <w:r>
        <w:rPr>
          <w:rFonts w:ascii="Calibri" w:hAnsi="Calibri"/>
          <w:b/>
          <w:color w:val="525866"/>
          <w:sz w:val="22"/>
        </w:rPr>
        <w:t>VMC 8-K — President Baker II Retirement</w:t>
      </w:r>
      <w:r>
        <w:rPr>
          <w:rFonts w:ascii="Calibri" w:hAnsi="Calibri"/>
          <w:color w:val="525866"/>
          <w:sz w:val="22"/>
        </w:rPr>
        <w:t xml:space="preserve"> (May 11, 2026). Source: documents/VMC/8K/000114036126020591/</w:t>
      </w:r>
    </w:p>
    <w:p>
      <w:pPr>
        <w:pStyle w:val="ListBullet"/>
        <w:ind w:left="360" w:hanging="360"/>
      </w:pPr>
      <w:r>
        <w:rPr>
          <w:rFonts w:ascii="Calibri" w:hAnsi="Calibri"/>
          <w:b/>
          <w:color w:val="525866"/>
          <w:sz w:val="22"/>
        </w:rPr>
        <w:t>MLM Lhoist North America Acquisition Call Transcript</w:t>
      </w:r>
      <w:r>
        <w:rPr>
          <w:rFonts w:ascii="Calibri" w:hAnsi="Calibri"/>
          <w:color w:val="525866"/>
          <w:sz w:val="22"/>
        </w:rPr>
        <w:t xml:space="preserve"> (June 29, 2026) — Forward demand commentary, Texas, data centers, infrastructure. Source: documents/MLM/transcript/non-earnings/Acquisition of Lhoist North America/2026-06-29/raw_document.txt</w:t>
      </w:r>
    </w:p>
    <w:p>
      <w:pPr>
        <w:pStyle w:val="ListBullet"/>
        <w:ind w:left="360" w:hanging="360"/>
      </w:pPr>
      <w:r>
        <w:rPr>
          <w:rFonts w:ascii="Calibri" w:hAnsi="Calibri"/>
          <w:b/>
          <w:color w:val="525866"/>
          <w:sz w:val="22"/>
        </w:rPr>
        <w:t>MLM 8-K — Lhoist Acquisition Announcement</w:t>
      </w:r>
      <w:r>
        <w:rPr>
          <w:rFonts w:ascii="Calibri" w:hAnsi="Calibri"/>
          <w:color w:val="525866"/>
          <w:sz w:val="22"/>
        </w:rPr>
        <w:t xml:space="preserve"> (June 29, 2026). Source: documents/MLM/8K/000095015726000758/</w:t>
      </w:r>
    </w:p>
    <w:p>
      <w:pPr>
        <w:pStyle w:val="ListBullet"/>
        <w:ind w:left="360" w:hanging="360"/>
      </w:pPr>
      <w:r>
        <w:rPr>
          <w:rFonts w:ascii="Calibri" w:hAnsi="Calibri"/>
          <w:b/>
          <w:color w:val="525866"/>
          <w:sz w:val="22"/>
        </w:rPr>
        <w:t>CRH 8-K — Arcosa Acquisition / $2.5B Term Loan</w:t>
      </w:r>
      <w:r>
        <w:rPr>
          <w:rFonts w:ascii="Calibri" w:hAnsi="Calibri"/>
          <w:color w:val="525866"/>
          <w:sz w:val="22"/>
        </w:rPr>
        <w:t xml:space="preserve"> (June 22 and July 17, 2026). Source: documents/CRH/8K/</w:t>
      </w:r>
    </w:p>
    <w:p>
      <w:pPr>
        <w:pStyle w:val="ListBullet"/>
        <w:ind w:left="360" w:hanging="360"/>
      </w:pPr>
      <w:r>
        <w:rPr>
          <w:rFonts w:ascii="Calibri" w:hAnsi="Calibri"/>
          <w:b/>
          <w:color w:val="525866"/>
          <w:sz w:val="22"/>
        </w:rPr>
        <w:t>SHW Q2 2026 Earnings Release</w:t>
      </w:r>
      <w:r>
        <w:rPr>
          <w:rFonts w:ascii="Calibri" w:hAnsi="Calibri"/>
          <w:color w:val="525866"/>
          <w:sz w:val="22"/>
        </w:rPr>
        <w:t xml:space="preserve"> (July 28, 2026) — Q2 beat, guidance raise, demand commentary. Source: SEC EDGAR / News Digest</w:t>
      </w:r>
    </w:p>
    <w:p>
      <w:pPr>
        <w:pStyle w:val="ListBullet"/>
        <w:ind w:left="360" w:hanging="360"/>
      </w:pPr>
      <w:r>
        <w:rPr>
          <w:rFonts w:ascii="Calibri" w:hAnsi="Calibri"/>
          <w:b/>
          <w:color w:val="525866"/>
          <w:sz w:val="22"/>
        </w:rPr>
        <w:t>STLD Q2 2026 Earnings Release</w:t>
      </w:r>
      <w:r>
        <w:rPr>
          <w:rFonts w:ascii="Calibri" w:hAnsi="Calibri"/>
          <w:color w:val="525866"/>
          <w:sz w:val="22"/>
        </w:rPr>
        <w:t xml:space="preserve"> (July 21, 2026) — Steel demand, backlogs, pricing. Source: SEC EDGAR / News Digest</w:t>
      </w:r>
    </w:p>
    <w:p>
      <w:pPr>
        <w:pStyle w:val="ListBullet"/>
        <w:ind w:left="360" w:hanging="360"/>
      </w:pPr>
      <w:r>
        <w:rPr>
          <w:rFonts w:ascii="Calibri" w:hAnsi="Calibri"/>
          <w:b/>
          <w:color w:val="525866"/>
          <w:sz w:val="22"/>
        </w:rPr>
        <w:t>NUE Q2 2026 Earnings Release</w:t>
      </w:r>
      <w:r>
        <w:rPr>
          <w:rFonts w:ascii="Calibri" w:hAnsi="Calibri"/>
          <w:color w:val="525866"/>
          <w:sz w:val="22"/>
        </w:rPr>
        <w:t xml:space="preserve"> (July 27, 2026) — Steel volume and pricing beat. Source: SEC EDGAR / News Digest</w:t>
      </w:r>
    </w:p>
    <w:p>
      <w:pPr>
        <w:pStyle w:val="ListBullet"/>
        <w:ind w:left="360" w:hanging="360"/>
      </w:pPr>
      <w:r>
        <w:rPr>
          <w:rFonts w:ascii="Calibri" w:hAnsi="Calibri"/>
          <w:b/>
          <w:color w:val="525866"/>
          <w:sz w:val="22"/>
        </w:rPr>
        <w:t>DOW Q2 2026 Earnings Release</w:t>
      </w:r>
      <w:r>
        <w:rPr>
          <w:rFonts w:ascii="Calibri" w:hAnsi="Calibri"/>
          <w:color w:val="525866"/>
          <w:sz w:val="22"/>
        </w:rPr>
        <w:t xml:space="preserve"> (July 23, 2026) — Housing weakness, data center demand, Q3 guidance. Source: SEC EDGAR / News Digest</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VMC, XLB, SPY daily closes April 29 – July 29, 2026.</w:t>
      </w:r>
    </w:p>
    <w:p>
      <w:pPr>
        <w:pStyle w:val="ListBullet"/>
        <w:ind w:left="360" w:hanging="360"/>
      </w:pPr>
      <w:r>
        <w:rPr>
          <w:rFonts w:ascii="Calibri" w:hAnsi="Calibri"/>
          <w:b/>
          <w:color w:val="525866"/>
          <w:sz w:val="22"/>
        </w:rPr>
        <w:t>SEC Form 4 Filings — VMC Insiders</w:t>
      </w:r>
      <w:r>
        <w:rPr>
          <w:rFonts w:ascii="Calibri" w:hAnsi="Calibri"/>
          <w:color w:val="525866"/>
          <w:sz w:val="22"/>
        </w:rPr>
        <w:t xml:space="preserve"> (January–July 2026). Source: SEC EDGAR.</w:t>
      </w:r>
    </w:p>
    <w:p>
      <w:pPr>
        <w:pStyle w:val="ListBullet"/>
        <w:ind w:left="360" w:hanging="360"/>
      </w:pPr>
      <w:r>
        <w:rPr>
          <w:rFonts w:ascii="Calibri" w:hAnsi="Calibri"/>
          <w:b/>
          <w:color w:val="525866"/>
          <w:sz w:val="22"/>
        </w:rPr>
        <w:t>VMC Company Summary Knowledge</w:t>
      </w:r>
      <w:r>
        <w:rPr>
          <w:rFonts w:ascii="Calibri" w:hAnsi="Calibri"/>
          <w:color w:val="525866"/>
          <w:sz w:val="22"/>
        </w:rPr>
        <w:t xml:space="preserve"> — Business overview, key KPIs, valuation, estimate trends. Source: Implied internal knowledge base.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