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VRSK before writing the preview. Let me gather recent earnings, filings, and news in parallel.Let me read the most recent Q1 2026 earnings call and release, plus the year-ago Q2 2025 release for comparison.Let me get the year-ago Q2 2025 release for comparison base and recent analyst/news context.Let me check on the AccuLynx acquisition status, consensus estimates, and the recent CIO transition news.Let me get consensus estimates and check the AccuLynx close status via web search.I have what I need. Let me write the earnings preview.</w:t>
      </w:r>
    </w:p>
    <w:bookmarkStart w:id="17" w:name="X9c47eaf351fb24805b0c975f6ec4db82451289a"/>
    <w:p>
      <w:pPr>
        <w:pStyle w:val="Heading1"/>
      </w:pPr>
      <w:r>
        <w:t xml:space="preserve">Verisk Analytics (VRSK) — Q2 2026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Event:</w:t>
      </w:r>
      <w:r>
        <w:t xml:space="preserve"> </w:t>
      </w:r>
      <w:r>
        <w:t xml:space="preserve">2026 Q2 Earnings Call, 8:30 a.m. ET</w:t>
      </w:r>
      <w:r>
        <w:t xml:space="preserve"> </w:t>
      </w:r>
      <w:r>
        <w:rPr>
          <w:b/>
          <w:bCs/>
        </w:rPr>
        <w:t xml:space="preserve">Recent price:</w:t>
      </w:r>
      <w:r>
        <w:t xml:space="preserve"> </w:t>
      </w:r>
      <w:r>
        <w:t xml:space="preserve">~</w:t>
      </w:r>
      <m:oMath>
        <m:r>
          <m:t>212</m:t>
        </m:r>
        <m:r>
          <m:rPr>
            <m:sty m:val="p"/>
          </m:rPr>
          <m:t>(</m:t>
        </m:r>
        <m:r>
          <m:t>7</m:t>
        </m:r>
        <m:r>
          <m:rPr>
            <m:sty m:val="p"/>
          </m:rPr>
          <m:t>/</m:t>
        </m:r>
        <m:r>
          <m:t>28</m:t>
        </m:r>
        <m:r>
          <m:rPr>
            <m:sty m:val="p"/>
          </m:rPr>
          <m:t>)</m:t>
        </m:r>
        <m:r>
          <m:rPr>
            <m:sty m:val="p"/>
          </m:rPr>
          <m:t>|</m:t>
        </m:r>
        <m:r>
          <m:rPr>
            <m:sty m:val="p"/>
          </m:rPr>
          <m:t>*</m:t>
        </m:r>
        <m:r>
          <m:rPr>
            <m:sty m:val="p"/>
          </m:rPr>
          <m:t>*</m:t>
        </m:r>
        <m:r>
          <m:t>M</m:t>
        </m:r>
        <m:r>
          <m:t>a</m:t>
        </m:r>
        <m:r>
          <m:t>r</m:t>
        </m:r>
        <m:r>
          <m:t>k</m:t>
        </m:r>
        <m:r>
          <m:t>e</m:t>
        </m:r>
        <m:r>
          <m:t>t</m:t>
        </m:r>
        <m:r>
          <m:t>c</m:t>
        </m:r>
        <m:r>
          <m:t>a</m:t>
        </m:r>
        <m:r>
          <m:t>p</m:t>
        </m:r>
        <m:r>
          <m:rPr>
            <m:sty m:val="p"/>
          </m:rPr>
          <m:t>:</m:t>
        </m:r>
        <m:r>
          <m:rPr>
            <m:sty m:val="p"/>
          </m:rPr>
          <m:t>*</m:t>
        </m:r>
        <m:r>
          <m:rPr>
            <m:sty m:val="p"/>
          </m:rPr>
          <m:t>*</m:t>
        </m:r>
        <m:r>
          <m:t> </m:t>
        </m:r>
      </m:oMath>
      <w:r>
        <w:t xml:space="preserve">25B | ~131M shares out</w:t>
      </w:r>
    </w:p>
    <w:p>
      <w:r>
        <w:pict>
          <v:rect style="width:0;height:1.5pt" o:hralign="center" o:hrstd="t" o:hr="t"/>
        </w:pict>
      </w:r>
    </w:p>
    <w:bookmarkStart w:id="9" w:name="Xae6f292db010770e3923e5f374da821abf65b5e"/>
    <w:p>
      <w:pPr>
        <w:pStyle w:val="Heading2"/>
      </w:pPr>
      <w:r>
        <w:t xml:space="preserve">1. The setup in one paragraph</w:t>
      </w:r>
    </w:p>
    <w:p>
      <w:pPr>
        <w:pStyle w:val="FirstParagraph"/>
      </w:pPr>
      <w:r>
        <w:t xml:space="preserve">Verisk enters this print as a "show-me" reacceleration story. Management explicitly framed Q1 2026 as the</w:t>
      </w:r>
      <w:r>
        <w:t xml:space="preserve"> </w:t>
      </w:r>
      <w:r>
        <w:rPr>
          <w:b/>
          <w:bCs/>
        </w:rPr>
        <w:t xml:space="preserve">trough</w:t>
      </w:r>
      <w:r>
        <w:t xml:space="preserve"> </w:t>
      </w:r>
      <w:r>
        <w:t xml:space="preserve">— both in dollar revenue and in organic constant-currency (OCC) growth — and promised a gradual build back toward its long-term algorithm as the year progresses. Q1 OCC revenue grew just</w:t>
      </w:r>
      <w:r>
        <w:t xml:space="preserve"> </w:t>
      </w:r>
      <w:r>
        <w:rPr>
          <w:b/>
          <w:bCs/>
        </w:rPr>
        <w:t xml:space="preserve">4.7%</w:t>
      </w:r>
      <w:r>
        <w:t xml:space="preserve"> </w:t>
      </w:r>
      <w:r>
        <w:t xml:space="preserve">(underwriting +5.3%, claims +3.4%), below Verisk's typical high-single-digit pace, dragged by three transitory factors: carryover from unusually low weather/catastrophe activity, tough renewal comps, and a work stoppage on a federal government contract. Q2 is the second and last quarter with those tough first-half comps, so the key question isn't whether growth improves modestly, but whether management sounds confident enough on the H2 ramp to keep the full-year guide intact — and whether subscription growth (the real signal) holds in the 7% zone.</w:t>
      </w:r>
    </w:p>
    <w:bookmarkEnd w:id="9"/>
    <w:bookmarkStart w:id="10" w:name="X07034c3b35d37eba1c6d5cb41fa8675be0f21ec"/>
    <w:p>
      <w:pPr>
        <w:pStyle w:val="Heading2"/>
      </w:pPr>
      <w:r>
        <w:t xml:space="preserve">2. What the Street expects</w:t>
      </w:r>
    </w:p>
    <w:p>
      <w:pPr>
        <w:pStyle w:val="Compact"/>
        <w:numPr>
          <w:ilvl w:val="0"/>
          <w:numId w:val="1001"/>
        </w:numPr>
      </w:pPr>
      <w:r>
        <w:rPr>
          <w:b/>
          <w:bCs/>
        </w:rPr>
        <w:t xml:space="preserve">Revenue:</w:t>
      </w:r>
      <w:r>
        <w:t xml:space="preserve"> </w:t>
      </w:r>
      <w:r>
        <w:t xml:space="preserve">~$802M consensus (Zacks), roughly</w:t>
      </w:r>
      <w:r>
        <w:t xml:space="preserve"> </w:t>
      </w:r>
      <w:r>
        <w:rPr>
          <w:b/>
          <w:bCs/>
        </w:rPr>
        <w:t xml:space="preserve">+3.9% YoY</w:t>
      </w:r>
      <w:r>
        <w:t xml:space="preserve"> </w:t>
      </w:r>
      <w:r>
        <w:t xml:space="preserve">off last year's</w:t>
      </w:r>
      <w:r>
        <w:t xml:space="preserve"> </w:t>
      </w:r>
      <m:oMath>
        <m:r>
          <m:t>772.6</m:t>
        </m:r>
        <m:r>
          <m:t>M</m:t>
        </m:r>
        <m:r>
          <m:rPr>
            <m:sty m:val="p"/>
          </m:rPr>
          <m:t>;</m:t>
        </m:r>
        <m:r>
          <m:t>u</m:t>
        </m:r>
        <m:r>
          <m:t>n</m:t>
        </m:r>
        <m:r>
          <m:t>d</m:t>
        </m:r>
        <m:r>
          <m:t>e</m:t>
        </m:r>
        <m:r>
          <m:t>r</m:t>
        </m:r>
        <m:r>
          <m:t>w</m:t>
        </m:r>
        <m:r>
          <m:t>r</m:t>
        </m:r>
        <m:r>
          <m:t>i</m:t>
        </m:r>
        <m:r>
          <m:t>t</m:t>
        </m:r>
        <m:r>
          <m:t>i</m:t>
        </m:r>
        <m:r>
          <m:t>n</m:t>
        </m:r>
        <m:r>
          <m:t>g</m:t>
        </m:r>
        <m:r>
          <m:t>p</m:t>
        </m:r>
        <m:r>
          <m:t>e</m:t>
        </m:r>
        <m:r>
          <m:t>g</m:t>
        </m:r>
        <m:r>
          <m:t>g</m:t>
        </m:r>
        <m:r>
          <m:t>e</m:t>
        </m:r>
        <m:r>
          <m:t>d</m:t>
        </m:r>
        <m:r>
          <m:t>n</m:t>
        </m:r>
        <m:r>
          <m:t>e</m:t>
        </m:r>
        <m:r>
          <m:t>a</m:t>
        </m:r>
        <m:r>
          <m:t>r</m:t>
        </m:r>
        <m:r>
          <m:rPr>
            <m:sty m:val="p"/>
          </m:rPr>
          <m:t>*</m:t>
        </m:r>
        <m:r>
          <m:rPr>
            <m:sty m:val="p"/>
          </m:rPr>
          <m:t>*</m:t>
        </m:r>
      </m:oMath>
      <w:r>
        <w:t xml:space="preserve">571.5M** (~+3.9%), implying claims ~$231M. A separate preview cited market expectations for ~4.1% revenue growth.</w:t>
      </w:r>
    </w:p>
    <w:p>
      <w:pPr>
        <w:pStyle w:val="Compact"/>
        <w:numPr>
          <w:ilvl w:val="0"/>
          <w:numId w:val="1001"/>
        </w:numPr>
      </w:pPr>
      <w:r>
        <w:rPr>
          <w:b/>
          <w:bCs/>
        </w:rPr>
        <w:t xml:space="preserve">Adjusted EPS:</w:t>
      </w:r>
      <w:r>
        <w:t xml:space="preserve"> </w:t>
      </w:r>
      <w:r>
        <w:t xml:space="preserve">~</w:t>
      </w:r>
      <m:oMath>
        <m:r>
          <m:t>1.94</m:t>
        </m:r>
        <m:r>
          <m:rPr>
            <m:sty m:val="p"/>
          </m:rPr>
          <m:t>*</m:t>
        </m:r>
        <m:r>
          <m:rPr>
            <m:sty m:val="p"/>
          </m:rPr>
          <m:t>*</m:t>
        </m:r>
        <m:r>
          <m:rPr>
            <m:sty m:val="p"/>
          </m:rPr>
          <m:t>,</m:t>
        </m:r>
        <m:r>
          <m:t>u</m:t>
        </m:r>
        <m:r>
          <m:t>p</m:t>
        </m:r>
        <m:r>
          <m:t> </m:t>
        </m:r>
        <m:r>
          <m:t>3.2</m:t>
        </m:r>
      </m:oMath>
      <w:r>
        <w:rPr>
          <w:b/>
          <w:bCs/>
        </w:rPr>
        <w:t xml:space="preserve">1.88</w:t>
      </w:r>
      <w:r>
        <w:t xml:space="preserve"> </w:t>
      </w:r>
      <w:r>
        <w:t xml:space="preserve">a year ago.</w:t>
      </w:r>
    </w:p>
    <w:p>
      <w:pPr>
        <w:pStyle w:val="Compact"/>
        <w:numPr>
          <w:ilvl w:val="0"/>
          <w:numId w:val="1001"/>
        </w:numPr>
      </w:pPr>
      <w:r>
        <w:rPr>
          <w:b/>
          <w:bCs/>
        </w:rPr>
        <w:t xml:space="preserve">Track record:</w:t>
      </w:r>
      <w:r>
        <w:t xml:space="preserve"> </w:t>
      </w:r>
      <w:r>
        <w:t xml:space="preserve">Verisk has beaten EPS estimates in each of the last four quarters (avg surprise ~6.3%), so a modest headline beat is close to "priced in."</w:t>
      </w:r>
    </w:p>
    <w:p>
      <w:pPr>
        <w:pStyle w:val="FirstParagraph"/>
      </w:pPr>
      <w:r>
        <w:t xml:space="preserve">Note the reported growth rate is being suppressed by the</w:t>
      </w:r>
      <w:r>
        <w:t xml:space="preserve"> </w:t>
      </w:r>
      <w:r>
        <w:rPr>
          <w:b/>
          <w:bCs/>
        </w:rPr>
        <w:t xml:space="preserve">divestiture of Verisk Marketing Solutions (VMS)</w:t>
      </w:r>
      <w:r>
        <w:t xml:space="preserve">, which contributed ~</w:t>
      </w:r>
      <m:oMath>
        <m:r>
          <m:t>68</m:t>
        </m:r>
        <m:r>
          <m:t>M</m:t>
        </m:r>
        <m:r>
          <m:t>o</m:t>
        </m:r>
        <m:r>
          <m:t>f</m:t>
        </m:r>
        <m:r>
          <m:t>r</m:t>
        </m:r>
        <m:r>
          <m:t>e</m:t>
        </m:r>
        <m:r>
          <m:t>v</m:t>
        </m:r>
        <m:r>
          <m:t>e</m:t>
        </m:r>
        <m:r>
          <m:t>n</m:t>
        </m:r>
        <m:r>
          <m:t>u</m:t>
        </m:r>
        <m:r>
          <m:t>e</m:t>
        </m:r>
        <m:r>
          <m:t>i</m:t>
        </m:r>
        <m:r>
          <m:t>n</m:t>
        </m:r>
        <m:r>
          <m:t>2025</m:t>
        </m:r>
        <m:r>
          <m:rPr>
            <m:sty m:val="p"/>
          </m:rPr>
          <m:t>(</m:t>
        </m:r>
        <m:r>
          <m:t>l</m:t>
        </m:r>
        <m:r>
          <m:t>i</m:t>
        </m:r>
        <m:r>
          <m:t>t</m:t>
        </m:r>
        <m:r>
          <m:t>t</m:t>
        </m:r>
        <m:r>
          <m:t>l</m:t>
        </m:r>
        <m:r>
          <m:t>e</m:t>
        </m:r>
        <m:r>
          <m:t>s</m:t>
        </m:r>
        <m:r>
          <m:t>e</m:t>
        </m:r>
        <m:r>
          <m:t>a</m:t>
        </m:r>
        <m:r>
          <m:t>s</m:t>
        </m:r>
        <m:r>
          <m:t>o</m:t>
        </m:r>
        <m:r>
          <m:t>n</m:t>
        </m:r>
        <m:r>
          <m:t>a</m:t>
        </m:r>
        <m:r>
          <m:t>l</m:t>
        </m:r>
        <m:r>
          <m:t>i</m:t>
        </m:r>
        <m:r>
          <m:t>t</m:t>
        </m:r>
        <m:r>
          <m:t>y</m:t>
        </m:r>
        <m:r>
          <m:rPr>
            <m:sty m:val="p"/>
          </m:rPr>
          <m:t>,</m:t>
        </m:r>
        <m:r>
          <m:t> </m:t>
        </m:r>
      </m:oMath>
      <w:r>
        <w:t xml:space="preserve">17M/quarter) and is an ~$0.11 full-year EPS headwind. OCC growth (which strips out the disposition) will read cleaner and higher than the reported number — watch that gap.</w:t>
      </w:r>
    </w:p>
    <w:bookmarkEnd w:id="10"/>
    <w:bookmarkStart w:id="11" w:name="X7ce4816c0a4a94b2edaabb5b7f92d008b83de01"/>
    <w:p>
      <w:pPr>
        <w:pStyle w:val="Heading2"/>
      </w:pPr>
      <w:r>
        <w:t xml:space="preserve">3. The key debates / what to watch</w:t>
      </w:r>
    </w:p>
    <w:p>
      <w:pPr>
        <w:pStyle w:val="FirstParagraph"/>
      </w:pPr>
      <w:r>
        <w:rPr>
          <w:b/>
          <w:bCs/>
        </w:rPr>
        <w:t xml:space="preserve">a) Is the trough behind them? (OCC trajectory)</w:t>
      </w:r>
      <w:r>
        <w:t xml:space="preserve"> </w:t>
      </w:r>
      <w:r>
        <w:t xml:space="preserve">Q1 OCC of 4.7% came in "modestly ahead" of Verisk's own expectations. Management guided that</w:t>
      </w:r>
      <w:r>
        <w:t xml:space="preserve"> </w:t>
      </w:r>
      <w:r>
        <w:rPr>
          <w:b/>
          <w:bCs/>
        </w:rPr>
        <w:t xml:space="preserve">Q2 OCC could still print below the long-term range</w:t>
      </w:r>
      <w:r>
        <w:t xml:space="preserve"> </w:t>
      </w:r>
      <w:r>
        <w:t xml:space="preserve">because of lingering H1 comp headwinds, with the reacceleration weighted to H2 as easy comps kick in. Anything that shows the</w:t>
      </w:r>
      <w:r>
        <w:t xml:space="preserve"> </w:t>
      </w:r>
      <w:r>
        <w:rPr>
          <w:i/>
          <w:iCs/>
        </w:rPr>
        <w:t xml:space="preserve">core</w:t>
      </w:r>
      <w:r>
        <w:t xml:space="preserve"> </w:t>
      </w:r>
      <w:r>
        <w:t xml:space="preserve">(ex-weather, ex-government contract) is intact — ideally OCC in the mid-5s or better — supports the bull case. A sub-5% OCC with soft commentary would raise doubts about the H2 hockey stick embedded in guidance.</w:t>
      </w:r>
    </w:p>
    <w:p>
      <w:pPr>
        <w:pStyle w:val="BodyText"/>
      </w:pPr>
      <w:r>
        <w:rPr>
          <w:b/>
          <w:bCs/>
        </w:rPr>
        <w:t xml:space="preserve">b) Subscription durability (the real tell)</w:t>
      </w:r>
      <w:r>
        <w:t xml:space="preserve"> </w:t>
      </w:r>
      <w:r>
        <w:t xml:space="preserve">Subscriptions are ~84% of revenue and grew</w:t>
      </w:r>
      <w:r>
        <w:t xml:space="preserve"> </w:t>
      </w:r>
      <w:r>
        <w:rPr>
          <w:b/>
          <w:bCs/>
        </w:rPr>
        <w:t xml:space="preserve">7% OCC in Q1</w:t>
      </w:r>
      <w:r>
        <w:t xml:space="preserve"> </w:t>
      </w:r>
      <w:r>
        <w:t xml:space="preserve">on top of a very tough ~10.6% year-ago compare. This is the single most important number for the quality of the quarter. Drivers to watch: continued price realization in</w:t>
      </w:r>
      <w:r>
        <w:t xml:space="preserve"> </w:t>
      </w:r>
      <w:r>
        <w:rPr>
          <w:b/>
          <w:bCs/>
        </w:rPr>
        <w:t xml:space="preserve">Forms, Rules &amp; Loss Costs</w:t>
      </w:r>
      <w:r>
        <w:t xml:space="preserve"> </w:t>
      </w:r>
      <w:r>
        <w:t xml:space="preserve">(Core Lines "Reimagine," targeting ~25 module releases in 2026), double-digit growth in</w:t>
      </w:r>
      <w:r>
        <w:t xml:space="preserve"> </w:t>
      </w:r>
      <w:r>
        <w:rPr>
          <w:b/>
          <w:bCs/>
        </w:rPr>
        <w:t xml:space="preserve">Catastrophe &amp; Risk</w:t>
      </w:r>
      <w:r>
        <w:t xml:space="preserve"> </w:t>
      </w:r>
      <w:r>
        <w:t xml:space="preserve">(Synergy Studio platform ramp, new US tropical cyclone model), anti-fraud value realization, and double-digit</w:t>
      </w:r>
      <w:r>
        <w:t xml:space="preserve"> </w:t>
      </w:r>
      <w:r>
        <w:rPr>
          <w:b/>
          <w:bCs/>
        </w:rPr>
        <w:t xml:space="preserve">Life</w:t>
      </w:r>
      <w:r>
        <w:t xml:space="preserve"> </w:t>
      </w:r>
      <w:r>
        <w:t xml:space="preserve">growth (FAST + SuranceBay cross-sell). Management reiterated they expect high-single-digit subscription growth to be sustainable.</w:t>
      </w:r>
    </w:p>
    <w:p>
      <w:pPr>
        <w:pStyle w:val="BodyText"/>
      </w:pPr>
      <w:r>
        <w:rPr>
          <w:b/>
          <w:bCs/>
        </w:rPr>
        <w:t xml:space="preserve">c) Transactional/weather drag</w:t>
      </w:r>
      <w:r>
        <w:t xml:space="preserve"> </w:t>
      </w:r>
      <w:r>
        <w:t xml:space="preserve">Transactional revenue (~16% of the mix) fell ~6% OCC in Q1 on low weather activity, softer personal-auto, and lower property overages. 2025 saw near-record-low catastrophe losses, and the year-ago Q2 base was still relatively normal — so the transactional line (Property &amp; Restoration Solutions especially) is likely to remain a drag. Watch for any commentary on 2026 cat/weather activity, which would swing the transactional line.</w:t>
      </w:r>
    </w:p>
    <w:p>
      <w:pPr>
        <w:pStyle w:val="BodyText"/>
      </w:pPr>
      <w:r>
        <w:rPr>
          <w:b/>
          <w:bCs/>
        </w:rPr>
        <w:t xml:space="preserve">d) Margins — expect optics to look weak, and that's OK</w:t>
      </w:r>
      <w:r>
        <w:t xml:space="preserve"> </w:t>
      </w:r>
      <w:r>
        <w:t xml:space="preserve">Q1 adjusted EBITDA margin was 55.9% (+60 bps YoY). But the</w:t>
      </w:r>
      <w:r>
        <w:t xml:space="preserve"> </w:t>
      </w:r>
      <w:r>
        <w:rPr>
          <w:b/>
          <w:bCs/>
        </w:rPr>
        <w:t xml:space="preserve">year-ago Q2 margin of 57.6% was flattered by a ~120 bps one-time FX translation benefit that will not recur.</w:t>
      </w:r>
      <w:r>
        <w:t xml:space="preserve"> </w:t>
      </w:r>
      <w:r>
        <w:t xml:space="preserve">So a YoY margin</w:t>
      </w:r>
      <w:r>
        <w:t xml:space="preserve"> </w:t>
      </w:r>
      <w:r>
        <w:rPr>
          <w:i/>
          <w:iCs/>
        </w:rPr>
        <w:t xml:space="preserve">decline</w:t>
      </w:r>
      <w:r>
        <w:t xml:space="preserve"> </w:t>
      </w:r>
      <w:r>
        <w:t xml:space="preserve">in Q2 is expected and pre-flagged — don't misread it as deterioration. Full-year guide is 56.0%–56.5%, with expenses ramping through the year and AI investment offsetting productivity gains (management calls AI a "push" on margin for now).</w:t>
      </w:r>
    </w:p>
    <w:p>
      <w:pPr>
        <w:pStyle w:val="BodyText"/>
      </w:pPr>
      <w:r>
        <w:rPr>
          <w:b/>
          <w:bCs/>
        </w:rPr>
        <w:t xml:space="preserve">e) AI narrative — the multiple driver</w:t>
      </w:r>
      <w:r>
        <w:t xml:space="preserve"> </w:t>
      </w:r>
      <w:r>
        <w:t xml:space="preserve">Post-Investor Day, the AI story is central to the bull thesis. Q1 highlights included winning a competitive RFP to be the strategic data/analytics/AI partner for a global insurer building a "digitally native" underwriting entity, a growing pipeline of proof-of-concepts (20+ follow-ups on Augmented Underwriting), aerial-imagery products (+30% over two years), and Digital Media Forensics (6th top-10 carrier onboarded). Management is</w:t>
      </w:r>
      <w:r>
        <w:t xml:space="preserve"> </w:t>
      </w:r>
      <w:r>
        <w:rPr>
          <w:b/>
          <w:bCs/>
        </w:rPr>
        <w:t xml:space="preserve">not sizing the top-line AI opportunity yet</w:t>
      </w:r>
      <w:r>
        <w:t xml:space="preserve"> </w:t>
      </w:r>
      <w:r>
        <w:t xml:space="preserve">and flagged that AI-related contracting (IP/governance) is</w:t>
      </w:r>
      <w:r>
        <w:t xml:space="preserve"> </w:t>
      </w:r>
      <w:r>
        <w:rPr>
          <w:i/>
          <w:iCs/>
        </w:rPr>
        <w:t xml:space="preserve">lengthening some sales cycles</w:t>
      </w:r>
      <w:r>
        <w:t xml:space="preserve">. Investors will want fresh, more concrete monetization signposts here; vague "long-term opportunity" language could disappoint given the multiple.</w:t>
      </w:r>
    </w:p>
    <w:bookmarkEnd w:id="11"/>
    <w:bookmarkStart w:id="12" w:name="Xdeed4f81e5a4d1e477d79245313b7c067f56c51"/>
    <w:p>
      <w:pPr>
        <w:pStyle w:val="Heading2"/>
      </w:pPr>
      <w:r>
        <w:t xml:space="preserve">4. Guidance — the pivotal question</w:t>
      </w:r>
    </w:p>
    <w:p>
      <w:pPr>
        <w:pStyle w:val="FirstParagraph"/>
      </w:pPr>
      <w:r>
        <w:t xml:space="preserve">Verisk</w:t>
      </w:r>
      <w:r>
        <w:t xml:space="preserve"> </w:t>
      </w:r>
      <w:r>
        <w:rPr>
          <w:b/>
          <w:bCs/>
        </w:rPr>
        <w:t xml:space="preserve">reaffirmed</w:t>
      </w:r>
      <w:r>
        <w:t xml:space="preserve"> </w:t>
      </w:r>
      <w:r>
        <w:t xml:space="preserve">its FY2026 outlook at Q1 (it did not raise). Full-year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FY2026 Guidance</w:t>
            </w:r>
          </w:p>
        </w:tc>
      </w:tr>
      <w:tr>
        <w:tc>
          <w:tcPr/>
          <w:p>
            <w:pPr>
              <w:pStyle w:val="Compact"/>
            </w:pPr>
            <w:r>
              <w:t xml:space="preserve">Revenue</w:t>
            </w:r>
          </w:p>
        </w:tc>
        <w:tc>
          <w:tcPr/>
          <w:p>
            <w:pPr>
              <w:pStyle w:val="Compact"/>
            </w:pPr>
            <w:r>
              <w:t xml:space="preserve">$3.19B – $3.24B</w:t>
            </w:r>
          </w:p>
        </w:tc>
      </w:tr>
      <w:tr>
        <w:tc>
          <w:tcPr/>
          <w:p>
            <w:pPr>
              <w:pStyle w:val="Compact"/>
            </w:pPr>
            <w:r>
              <w:t xml:space="preserve">Adj. EBITDA</w:t>
            </w:r>
          </w:p>
        </w:tc>
        <w:tc>
          <w:tcPr/>
          <w:p>
            <w:pPr>
              <w:pStyle w:val="Compact"/>
            </w:pPr>
            <w:r>
              <w:t xml:space="preserve">$1.79B – $1.83B</w:t>
            </w:r>
          </w:p>
        </w:tc>
      </w:tr>
      <w:tr>
        <w:tc>
          <w:tcPr/>
          <w:p>
            <w:pPr>
              <w:pStyle w:val="Compact"/>
            </w:pPr>
            <w:r>
              <w:t xml:space="preserve">Adj. EBITDA margin</w:t>
            </w:r>
          </w:p>
        </w:tc>
        <w:tc>
          <w:tcPr/>
          <w:p>
            <w:pPr>
              <w:pStyle w:val="Compact"/>
            </w:pPr>
            <w:r>
              <w:t xml:space="preserve">56.0% – 56.5%</w:t>
            </w:r>
          </w:p>
        </w:tc>
      </w:tr>
      <w:tr>
        <w:tc>
          <w:tcPr/>
          <w:p>
            <w:pPr>
              <w:pStyle w:val="Compact"/>
            </w:pPr>
            <w:r>
              <w:t xml:space="preserve">Adj. diluted EPS</w:t>
            </w:r>
          </w:p>
        </w:tc>
        <w:tc>
          <w:tcPr/>
          <w:p>
            <w:pPr>
              <w:pStyle w:val="Compact"/>
            </w:pPr>
            <w:r>
              <w:t xml:space="preserve">$7.45 – $7.75</w:t>
            </w:r>
          </w:p>
        </w:tc>
      </w:tr>
      <w:tr>
        <w:tc>
          <w:tcPr/>
          <w:p>
            <w:pPr>
              <w:pStyle w:val="Compact"/>
            </w:pPr>
            <w:r>
              <w:t xml:space="preserve">Interest expense</w:t>
            </w:r>
          </w:p>
        </w:tc>
        <w:tc>
          <w:tcPr/>
          <w:p>
            <w:pPr>
              <w:pStyle w:val="Compact"/>
            </w:pPr>
            <w:r>
              <w:t xml:space="preserve">$190M – $200M</w:t>
            </w:r>
          </w:p>
        </w:tc>
      </w:tr>
      <w:tr>
        <w:tc>
          <w:tcPr/>
          <w:p>
            <w:pPr>
              <w:pStyle w:val="Compact"/>
            </w:pPr>
            <w:r>
              <w:t xml:space="preserve">Tax rate</w:t>
            </w:r>
          </w:p>
        </w:tc>
        <w:tc>
          <w:tcPr/>
          <w:p>
            <w:pPr>
              <w:pStyle w:val="Compact"/>
            </w:pPr>
            <w:r>
              <w:t xml:space="preserve">23% – 26%</w:t>
            </w:r>
          </w:p>
        </w:tc>
      </w:tr>
      <w:tr>
        <w:tc>
          <w:tcPr/>
          <w:p>
            <w:pPr>
              <w:pStyle w:val="Compact"/>
            </w:pPr>
            <w:r>
              <w:t xml:space="preserve">Capex</w:t>
            </w:r>
          </w:p>
        </w:tc>
        <w:tc>
          <w:tcPr/>
          <w:p>
            <w:pPr>
              <w:pStyle w:val="Compact"/>
            </w:pPr>
            <w:r>
              <w:t xml:space="preserve">$260M – $280M</w:t>
            </w:r>
          </w:p>
        </w:tc>
      </w:tr>
      <w:tr>
        <w:tc>
          <w:tcPr/>
          <w:p>
            <w:pPr>
              <w:pStyle w:val="Compact"/>
            </w:pPr>
            <w:r>
              <w:t xml:space="preserve">Dividend/share</w:t>
            </w:r>
          </w:p>
        </w:tc>
        <w:tc>
          <w:tcPr/>
          <w:p>
            <w:pPr>
              <w:pStyle w:val="Compact"/>
            </w:pPr>
            <w:r>
              <w:t xml:space="preserve">$2.00</w:t>
            </w:r>
          </w:p>
        </w:tc>
      </w:tr>
    </w:tbl>
    <w:p>
      <w:pPr>
        <w:pStyle w:val="BodyText"/>
      </w:pPr>
      <w:r>
        <w:t xml:space="preserve">To hit the ~$3.215B midpoint after a</w:t>
      </w:r>
      <w:r>
        <w:t xml:space="preserve"> </w:t>
      </w:r>
      <m:oMath>
        <m:r>
          <m:t>783</m:t>
        </m:r>
        <m:r>
          <m:t>M</m:t>
        </m:r>
        <m:r>
          <m:t>Q</m:t>
        </m:r>
        <m:r>
          <m:t>1</m:t>
        </m:r>
        <m:r>
          <m:rPr>
            <m:sty m:val="p"/>
          </m:rPr>
          <m:t>,</m:t>
        </m:r>
        <m:r>
          <m:t>t</m:t>
        </m:r>
        <m:r>
          <m:t>h</m:t>
        </m:r>
        <m:r>
          <m:t>e</m:t>
        </m:r>
        <m:r>
          <m:t>b</m:t>
        </m:r>
        <m:r>
          <m:t>a</m:t>
        </m:r>
        <m:r>
          <m:t>c</m:t>
        </m:r>
        <m:r>
          <m:t>k</m:t>
        </m:r>
        <m:r>
          <m:t>h</m:t>
        </m:r>
        <m:r>
          <m:t>a</m:t>
        </m:r>
        <m:r>
          <m:t>l</m:t>
        </m:r>
        <m:r>
          <m:t>f</m:t>
        </m:r>
        <m:r>
          <m:t>n</m:t>
        </m:r>
        <m:r>
          <m:t>e</m:t>
        </m:r>
        <m:r>
          <m:t>e</m:t>
        </m:r>
        <m:r>
          <m:t>d</m:t>
        </m:r>
        <m:r>
          <m:t>s</m:t>
        </m:r>
        <m:r>
          <m:t>t</m:t>
        </m:r>
        <m:r>
          <m:t>o</m:t>
        </m:r>
        <m:r>
          <m:t>a</m:t>
        </m:r>
        <m:r>
          <m:t>v</m:t>
        </m:r>
        <m:r>
          <m:t>e</m:t>
        </m:r>
        <m:r>
          <m:t>r</m:t>
        </m:r>
        <m:r>
          <m:t>a</m:t>
        </m:r>
        <m:r>
          <m:t>g</m:t>
        </m:r>
        <m:r>
          <m:t>e</m:t>
        </m:r>
        <m:r>
          <m:t> </m:t>
        </m:r>
      </m:oMath>
      <w:r>
        <w:t xml:space="preserve">811M/quarter — so Q2 consensus of ~$802M is consistent with a</w:t>
      </w:r>
      <w:r>
        <w:t xml:space="preserve"> </w:t>
      </w:r>
      <w:r>
        <w:rPr>
          <w:i/>
          <w:iCs/>
        </w:rPr>
        <w:t xml:space="preserve">building</w:t>
      </w:r>
      <w:r>
        <w:t xml:space="preserve"> </w:t>
      </w:r>
      <w:r>
        <w:t xml:space="preserve">ramp. A guidance</w:t>
      </w:r>
      <w:r>
        <w:t xml:space="preserve"> </w:t>
      </w:r>
      <w:r>
        <w:rPr>
          <w:b/>
          <w:bCs/>
        </w:rPr>
        <w:t xml:space="preserve">raise</w:t>
      </w:r>
      <w:r>
        <w:t xml:space="preserve"> </w:t>
      </w:r>
      <w:r>
        <w:t xml:space="preserve">would be a strong positive surprise (recall management raised the FY25 guide at last year's Q2), but given the reaffirm-only tone in Q1 and the still-tough Q2 comp, a maintain-and-reiterate-confidence outcome is the base case. Watch the language on H2 reacceleration closely.</w:t>
      </w:r>
    </w:p>
    <w:bookmarkEnd w:id="12"/>
    <w:bookmarkStart w:id="13" w:name="X08b369059782acc7cacecb68e554a329948a705"/>
    <w:p>
      <w:pPr>
        <w:pStyle w:val="Heading2"/>
      </w:pPr>
      <w:r>
        <w:t xml:space="preserve">5. Capital allocation &amp; balance sheet</w:t>
      </w:r>
    </w:p>
    <w:p>
      <w:pPr>
        <w:pStyle w:val="Compact"/>
        <w:numPr>
          <w:ilvl w:val="0"/>
          <w:numId w:val="1002"/>
        </w:numPr>
      </w:pPr>
      <w:r>
        <w:rPr>
          <w:b/>
          <w:bCs/>
        </w:rPr>
        <w:t xml:space="preserve">Buybacks are the near-term EPS engine.</w:t>
      </w:r>
      <w:r>
        <w:t xml:space="preserve"> </w:t>
      </w:r>
      <w:r>
        <w:t xml:space="preserve">In Q1, Verisk executed a</w:t>
      </w:r>
      <w:r>
        <w:t xml:space="preserve"> </w:t>
      </w:r>
      <w:r>
        <w:rPr>
          <w:b/>
          <w:bCs/>
        </w:rPr>
        <w:t xml:space="preserve">$1.5B accelerated share repurchase</w:t>
      </w:r>
      <w:r>
        <w:t xml:space="preserve"> </w:t>
      </w:r>
      <w:r>
        <w:t xml:space="preserve">(funded by $1B notes + a term loan) plus</w:t>
      </w:r>
      <w:r>
        <w:t xml:space="preserve"> </w:t>
      </w:r>
      <m:oMath>
        <m:r>
          <m:t>126</m:t>
        </m:r>
        <m:r>
          <m:t>M</m:t>
        </m:r>
        <m:r>
          <m:t>o</m:t>
        </m:r>
        <m:r>
          <m:t>p</m:t>
        </m:r>
        <m:r>
          <m:t>e</m:t>
        </m:r>
        <m:r>
          <m:t>n</m:t>
        </m:r>
        <m:r>
          <m:rPr>
            <m:sty m:val="p"/>
          </m:rPr>
          <m:t>−</m:t>
        </m:r>
        <m:r>
          <m:t>m</m:t>
        </m:r>
        <m:r>
          <m:t>a</m:t>
        </m:r>
        <m:r>
          <m:t>r</m:t>
        </m:r>
        <m:r>
          <m:t>k</m:t>
        </m:r>
        <m:r>
          <m:t>e</m:t>
        </m:r>
        <m:r>
          <m:t>t</m:t>
        </m:r>
        <m:r>
          <m:t>r</m:t>
        </m:r>
        <m:r>
          <m:t>e</m:t>
        </m:r>
        <m:r>
          <m:t>p</m:t>
        </m:r>
        <m:r>
          <m:t>u</m:t>
        </m:r>
        <m:r>
          <m:t>r</m:t>
        </m:r>
        <m:r>
          <m:t>c</m:t>
        </m:r>
        <m:r>
          <m:t>h</m:t>
        </m:r>
        <m:r>
          <m:t>a</m:t>
        </m:r>
        <m:r>
          <m:t>s</m:t>
        </m:r>
        <m:r>
          <m:t>e</m:t>
        </m:r>
        <m:r>
          <m:t>s</m:t>
        </m:r>
        <m:r>
          <m:rPr>
            <m:sty m:val="p"/>
          </m:rPr>
          <m:t>,</m:t>
        </m:r>
        <m:r>
          <m:t>r</m:t>
        </m:r>
        <m:r>
          <m:t>e</m:t>
        </m:r>
        <m:r>
          <m:t>t</m:t>
        </m:r>
        <m:r>
          <m:t>i</m:t>
        </m:r>
        <m:r>
          <m:t>r</m:t>
        </m:r>
        <m:r>
          <m:t>i</m:t>
        </m:r>
        <m:r>
          <m:t>n</m:t>
        </m:r>
        <m:r>
          <m:t>g</m:t>
        </m:r>
        <m:r>
          <m:t>7.6</m:t>
        </m:r>
        <m:r>
          <m:t>M</m:t>
        </m:r>
        <m:r>
          <m:t>s</m:t>
        </m:r>
        <m:r>
          <m:t>h</m:t>
        </m:r>
        <m:r>
          <m:t>a</m:t>
        </m:r>
        <m:r>
          <m:t>r</m:t>
        </m:r>
        <m:r>
          <m:t>e</m:t>
        </m:r>
        <m:r>
          <m:t>s</m:t>
        </m:r>
        <m:r>
          <m:rPr>
            <m:sty m:val="p"/>
          </m:rPr>
          <m:t>.</m:t>
        </m:r>
        <m:r>
          <m:t>T</m:t>
        </m:r>
        <m:r>
          <m:t>h</m:t>
        </m:r>
        <m:r>
          <m:t>e</m:t>
        </m:r>
        <m:r>
          <m:t>A</m:t>
        </m:r>
        <m:r>
          <m:t>S</m:t>
        </m:r>
        <m:r>
          <m:t>R</m:t>
        </m:r>
        <m:r>
          <m:t>w</m:t>
        </m:r>
        <m:r>
          <m:t>a</m:t>
        </m:r>
        <m:r>
          <m:t>s</m:t>
        </m:r>
        <m:r>
          <m:t>e</m:t>
        </m:r>
        <m:r>
          <m:t>x</m:t>
        </m:r>
        <m:r>
          <m:t>p</m:t>
        </m:r>
        <m:r>
          <m:t>e</m:t>
        </m:r>
        <m:r>
          <m:t>c</m:t>
        </m:r>
        <m:r>
          <m:t>t</m:t>
        </m:r>
        <m:r>
          <m:t>e</m:t>
        </m:r>
        <m:r>
          <m:t>d</m:t>
        </m:r>
        <m:r>
          <m:t>t</m:t>
        </m:r>
        <m:r>
          <m:t>o</m:t>
        </m:r>
        <m:r>
          <m:t>r</m:t>
        </m:r>
        <m:r>
          <m:t>u</m:t>
        </m:r>
        <m:r>
          <m:t>n</m:t>
        </m:r>
        <m:r>
          <m:t>t</m:t>
        </m:r>
        <m:r>
          <m:t>h</m:t>
        </m:r>
        <m:r>
          <m:t>r</m:t>
        </m:r>
        <m:r>
          <m:t>o</m:t>
        </m:r>
        <m:r>
          <m:t>u</m:t>
        </m:r>
        <m:r>
          <m:t>g</m:t>
        </m:r>
        <m:r>
          <m:t>h</m:t>
        </m:r>
        <m:r>
          <m:t>Q</m:t>
        </m:r>
        <m:r>
          <m:t>2</m:t>
        </m:r>
        <m:r>
          <m:rPr>
            <m:sty m:val="p"/>
          </m:rPr>
          <m:t>,</m:t>
        </m:r>
        <m:r>
          <m:t>s</m:t>
        </m:r>
        <m:r>
          <m:t>o</m:t>
        </m:r>
        <m:r>
          <m:t>a</m:t>
        </m:r>
        <m:r>
          <m:rPr>
            <m:sty m:val="p"/>
          </m:rPr>
          <m:t>*</m:t>
        </m:r>
        <m:r>
          <m:rPr>
            <m:sty m:val="p"/>
          </m:rPr>
          <m:t>*</m:t>
        </m:r>
        <m:r>
          <m:t>l</m:t>
        </m:r>
        <m:r>
          <m:t>o</m:t>
        </m:r>
        <m:r>
          <m:t>w</m:t>
        </m:r>
        <m:r>
          <m:t>e</m:t>
        </m:r>
        <m:r>
          <m:t>r</m:t>
        </m:r>
        <m:r>
          <m:t>s</m:t>
        </m:r>
        <m:r>
          <m:t>h</m:t>
        </m:r>
        <m:r>
          <m:t>a</m:t>
        </m:r>
        <m:r>
          <m:t>r</m:t>
        </m:r>
        <m:r>
          <m:t>e</m:t>
        </m:r>
        <m:r>
          <m:t>c</m:t>
        </m:r>
        <m:r>
          <m:t>o</m:t>
        </m:r>
        <m:r>
          <m:t>u</m:t>
        </m:r>
        <m:r>
          <m:t>n</m:t>
        </m:r>
        <m:r>
          <m:t>t</m:t>
        </m:r>
        <m:r>
          <m:rPr>
            <m:sty m:val="p"/>
          </m:rPr>
          <m:t>*</m:t>
        </m:r>
        <m:r>
          <m:rPr>
            <m:sty m:val="p"/>
          </m:rPr>
          <m:t>*</m:t>
        </m:r>
        <m:r>
          <m:t>s</m:t>
        </m:r>
        <m:r>
          <m:t>h</m:t>
        </m:r>
        <m:r>
          <m:t>o</m:t>
        </m:r>
        <m:r>
          <m:t>u</m:t>
        </m:r>
        <m:r>
          <m:t>l</m:t>
        </m:r>
        <m:r>
          <m:t>d</m:t>
        </m:r>
        <m:r>
          <m:t>a</m:t>
        </m:r>
        <m:r>
          <m:t>g</m:t>
        </m:r>
        <m:r>
          <m:t>a</m:t>
        </m:r>
        <m:r>
          <m:t>i</m:t>
        </m:r>
        <m:r>
          <m:t>n</m:t>
        </m:r>
        <m:r>
          <m:t>s</m:t>
        </m:r>
        <m:r>
          <m:t>u</m:t>
        </m:r>
        <m:r>
          <m:t>p</m:t>
        </m:r>
        <m:r>
          <m:t>p</m:t>
        </m:r>
        <m:r>
          <m:t>o</m:t>
        </m:r>
        <m:r>
          <m:t>r</m:t>
        </m:r>
        <m:r>
          <m:t>t</m:t>
        </m:r>
        <m:r>
          <m:t>a</m:t>
        </m:r>
        <m:r>
          <m:t>d</m:t>
        </m:r>
        <m:r>
          <m:t>j</m:t>
        </m:r>
        <m:r>
          <m:t>u</m:t>
        </m:r>
        <m:r>
          <m:t>s</m:t>
        </m:r>
        <m:r>
          <m:t>t</m:t>
        </m:r>
        <m:r>
          <m:t>e</m:t>
        </m:r>
        <m:r>
          <m:t>d</m:t>
        </m:r>
        <m:r>
          <m:t>E</m:t>
        </m:r>
        <m:r>
          <m:t>P</m:t>
        </m:r>
        <m:r>
          <m:t>S</m:t>
        </m:r>
        <m:r>
          <m:rPr>
            <m:sty m:val="p"/>
          </m:rPr>
          <m:t>.</m:t>
        </m:r>
        <m:r>
          <m:t> </m:t>
        </m:r>
      </m:oMath>
      <w:r>
        <w:t xml:space="preserve">1B remained on the authorization at Q1-end.</w:t>
      </w:r>
    </w:p>
    <w:p>
      <w:pPr>
        <w:pStyle w:val="Compact"/>
        <w:numPr>
          <w:ilvl w:val="0"/>
          <w:numId w:val="1002"/>
        </w:numPr>
      </w:pPr>
      <w:r>
        <w:rPr>
          <w:b/>
          <w:bCs/>
        </w:rPr>
        <w:t xml:space="preserve">AccuLynx is dead.</w:t>
      </w:r>
      <w:r>
        <w:t xml:space="preserve"> </w:t>
      </w:r>
      <w:r>
        <w:t xml:space="preserve">The</w:t>
      </w:r>
      <w:r>
        <w:t xml:space="preserve"> </w:t>
      </w:r>
      <w:r>
        <w:rPr>
          <w:b/>
          <w:bCs/>
        </w:rPr>
        <w:t xml:space="preserve">$2.35B AccuLynx acquisition was terminated in late December 2025</w:t>
      </w:r>
      <w:r>
        <w:t xml:space="preserve"> </w:t>
      </w:r>
      <w:r>
        <w:t xml:space="preserve">after the FTC did not complete its review; Verisk redeemed the $1.5B of notes issued for the deal (special mandatory redemption). Net: FY2026 is an</w:t>
      </w:r>
      <w:r>
        <w:t xml:space="preserve"> </w:t>
      </w:r>
      <w:r>
        <w:rPr>
          <w:b/>
          <w:bCs/>
        </w:rPr>
        <w:t xml:space="preserve">organic-only</w:t>
      </w:r>
      <w:r>
        <w:t xml:space="preserve"> </w:t>
      </w:r>
      <w:r>
        <w:t xml:space="preserve">story — no M&amp;A tailwind, and the claims/restoration "network" expansion thesis loses a leg. SuranceBay (life/annuity, closed July 2025) remains.</w:t>
      </w:r>
    </w:p>
    <w:p>
      <w:pPr>
        <w:pStyle w:val="Compact"/>
        <w:numPr>
          <w:ilvl w:val="0"/>
          <w:numId w:val="1002"/>
        </w:numPr>
      </w:pPr>
      <w:r>
        <w:rPr>
          <w:b/>
          <w:bCs/>
        </w:rPr>
        <w:t xml:space="preserve">Leverage</w:t>
      </w:r>
      <w:r>
        <w:t xml:space="preserve"> </w:t>
      </w:r>
      <w:r>
        <w:t xml:space="preserve">was 2.4x at Q1 (within the 2–3x target); note negative book equity (–$1.17B) is an artifact of aggressive buybacks, not a red flag. Dividend was raised ~11% to $0.50/quarter.</w:t>
      </w:r>
    </w:p>
    <w:bookmarkEnd w:id="13"/>
    <w:bookmarkStart w:id="14" w:name="X4396c4a88b3432f0c6c4c7db20fb2ab6f8d40b3"/>
    <w:p>
      <w:pPr>
        <w:pStyle w:val="Heading2"/>
      </w:pPr>
      <w:r>
        <w:t xml:space="preserve">6. Governance note</w:t>
      </w:r>
    </w:p>
    <w:p>
      <w:pPr>
        <w:pStyle w:val="FirstParagraph"/>
      </w:pPr>
      <w:r>
        <w:t xml:space="preserve">On 7/28 Verisk disclosed (8-K) that</w:t>
      </w:r>
      <w:r>
        <w:t xml:space="preserve"> </w:t>
      </w:r>
      <w:r>
        <w:rPr>
          <w:b/>
          <w:bCs/>
        </w:rPr>
        <w:t xml:space="preserve">CIO Nick Daffan is transitioning out of his role.</w:t>
      </w:r>
      <w:r>
        <w:t xml:space="preserve"> </w:t>
      </w:r>
      <w:r>
        <w:t xml:space="preserve">Minor for the quarter, but given how central "data-readiness/AI-ready infrastructure" is to the investment thesis, listen for any color on technology leadership continuity.</w:t>
      </w:r>
    </w:p>
    <w:bookmarkEnd w:id="14"/>
    <w:bookmarkStart w:id="15" w:name="X4b75b4c707d8b320c7ce5616528addc97552023"/>
    <w:p>
      <w:pPr>
        <w:pStyle w:val="Heading2"/>
      </w:pPr>
      <w:r>
        <w:t xml:space="preserve">7. Stock setup &amp; valuation</w:t>
      </w:r>
    </w:p>
    <w:p>
      <w:pPr>
        <w:pStyle w:val="Compact"/>
        <w:numPr>
          <w:ilvl w:val="0"/>
          <w:numId w:val="1003"/>
        </w:numPr>
      </w:pPr>
      <w:r>
        <w:t xml:space="preserve">VRSK has</w:t>
      </w:r>
      <w:r>
        <w:t xml:space="preserve"> </w:t>
      </w:r>
      <w:r>
        <w:rPr>
          <w:b/>
          <w:bCs/>
        </w:rPr>
        <w:t xml:space="preserve">rallied hard into the print — up ~15% from its mid-July low (~</w:t>
      </w:r>
      <m:oMath>
        <m:r>
          <m:t>185</m:t>
        </m:r>
        <m:r>
          <m:rPr>
            <m:sty m:val="p"/>
          </m:rPr>
          <m:t>)</m:t>
        </m:r>
        <m:r>
          <m:t>t</m:t>
        </m:r>
        <m:r>
          <m:t>o</m:t>
        </m:r>
        <m:r>
          <m:t> </m:t>
        </m:r>
      </m:oMath>
      <w:r>
        <w:rPr>
          <w:b/>
          <w:bCs/>
        </w:rPr>
        <w:t xml:space="preserve">212</w:t>
      </w:r>
      <w:r>
        <w:t xml:space="preserve">, including a jump above $200 on 7/16 and continued strength through 7/28. That momentum raises the bar for a positive reaction.</w:t>
      </w:r>
    </w:p>
    <w:p>
      <w:pPr>
        <w:pStyle w:val="Compact"/>
        <w:numPr>
          <w:ilvl w:val="0"/>
          <w:numId w:val="1003"/>
        </w:numPr>
      </w:pPr>
      <w:r>
        <w:rPr>
          <w:b/>
          <w:bCs/>
        </w:rPr>
        <w:t xml:space="preserve">YTD the stock is roughly flat/slightly down (~-4% from ~$221)</w:t>
      </w:r>
      <w:r>
        <w:t xml:space="preserve">, but it has meaningfully</w:t>
      </w:r>
      <w:r>
        <w:t xml:space="preserve"> </w:t>
      </w:r>
      <w:r>
        <w:rPr>
          <w:b/>
          <w:bCs/>
        </w:rPr>
        <w:t xml:space="preserve">outperformed data-analytics peer S&amp;P Global (SPGI), down ~17% YTD</w:t>
      </w:r>
      <w:r>
        <w:t xml:space="preserve"> </w:t>
      </w:r>
      <w:r>
        <w:t xml:space="preserve">over the same span. Both names sold off sharply in early February.</w:t>
      </w:r>
    </w:p>
    <w:p>
      <w:pPr>
        <w:pStyle w:val="Compact"/>
        <w:numPr>
          <w:ilvl w:val="0"/>
          <w:numId w:val="1003"/>
        </w:numPr>
      </w:pPr>
      <w:r>
        <w:t xml:space="preserve">At ~$212 and the guide midpoint of $7.60 adj. EPS, VRSK trades at ~</w:t>
      </w:r>
      <w:r>
        <w:rPr>
          <w:b/>
          <w:bCs/>
        </w:rPr>
        <w:t xml:space="preserve">28x forward earnings</w:t>
      </w:r>
      <w:r>
        <w:t xml:space="preserve"> </w:t>
      </w:r>
      <w:r>
        <w:t xml:space="preserve">— a premium multiple that leaves little room for a soft OCC number or cautious H2 commentary.</w:t>
      </w:r>
    </w:p>
    <w:bookmarkEnd w:id="15"/>
    <w:bookmarkStart w:id="16" w:name="X6dc0f3069a50cecabef2f20f581118147524386"/>
    <w:p>
      <w:pPr>
        <w:pStyle w:val="Heading2"/>
      </w:pPr>
      <w:r>
        <w:t xml:space="preserve">8. Bottom line — how to read the print</w:t>
      </w:r>
    </w:p>
    <w:p>
      <w:pPr>
        <w:pStyle w:val="Compact"/>
        <w:numPr>
          <w:ilvl w:val="0"/>
          <w:numId w:val="1004"/>
        </w:numPr>
      </w:pPr>
      <w:r>
        <w:rPr>
          <w:b/>
          <w:bCs/>
        </w:rPr>
        <w:t xml:space="preserve">Bullish outcome:</w:t>
      </w:r>
      <w:r>
        <w:t xml:space="preserve"> </w:t>
      </w:r>
      <w:r>
        <w:t xml:space="preserve">OCC accelerates off the Q1 trough (subscriptions holding ~7%+), management sounds confident (or raises) the FY guide, and there's more tangible AI monetization detail. Given the strong run-up, this is largely needed just to hold the stock.</w:t>
      </w:r>
    </w:p>
    <w:p>
      <w:pPr>
        <w:pStyle w:val="Compact"/>
        <w:numPr>
          <w:ilvl w:val="0"/>
          <w:numId w:val="1004"/>
        </w:numPr>
      </w:pPr>
      <w:r>
        <w:rPr>
          <w:b/>
          <w:bCs/>
        </w:rPr>
        <w:t xml:space="preserve">Bearish outcome:</w:t>
      </w:r>
      <w:r>
        <w:t xml:space="preserve"> </w:t>
      </w:r>
      <w:r>
        <w:t xml:space="preserve">OCC stays soft/below the long-term range with more "extended sales cycle" hedging on AI, transactional/weather drag deepens, and management merely reaffirms without conviction on the H2 ramp. After a 15% run, that combination is the risk.</w:t>
      </w:r>
    </w:p>
    <w:p>
      <w:pPr>
        <w:pStyle w:val="Compact"/>
        <w:numPr>
          <w:ilvl w:val="0"/>
          <w:numId w:val="1004"/>
        </w:numPr>
      </w:pPr>
      <w:r>
        <w:rPr>
          <w:b/>
          <w:bCs/>
        </w:rPr>
        <w:t xml:space="preserve">Most likely:</w:t>
      </w:r>
      <w:r>
        <w:t xml:space="preserve"> </w:t>
      </w:r>
      <w:r>
        <w:t xml:space="preserve">A modest headline EPS beat (helped by buybacks), reported revenue near/just above ~$802M, OCC still a touch below the long-term algorithm, a YoY margin dip (FX comp), and a reaffirmed full-year guide with reiterated confidence in second-half reacceleration. The</w:t>
      </w:r>
      <w:r>
        <w:t xml:space="preserve"> </w:t>
      </w:r>
      <w:r>
        <w:rPr>
          <w:b/>
          <w:bCs/>
        </w:rPr>
        <w:t xml:space="preserve">tone on the H2 build and subscription momentum will matter more than the headline numbers.</w:t>
      </w:r>
    </w:p>
    <w:p>
      <w:pPr>
        <w:pStyle w:val="FirstParagraph"/>
      </w:pPr>
      <w:r>
        <w:rPr>
          <w:i/>
          <w:iCs/>
        </w:rPr>
        <w:t xml:space="preserve">Key comps to benchmark against: Q2 2025 revenue $772.6M / underwriting $550M / claims $223M; adj. EBITDA $444.8M (57.6% margin, incl. ~120 bps non-recurring FX); adj. EPS $1.88.</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2026-07-29T00:19:03Z</dcterms:created>
  <dcterms:modified xsi:type="dcterms:W3CDTF">2026-07-29T00:19:03Z</dcterms:modified>
</cp:coreProperties>
</file>

<file path=docProps/custom.xml><?xml version="1.0" encoding="utf-8"?>
<Properties xmlns="http://schemas.openxmlformats.org/officeDocument/2006/custom-properties" xmlns:vt="http://schemas.openxmlformats.org/officeDocument/2006/docPropsVTypes"/>
</file>