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sk-earnings-predictions--2026-07-29"/>
    <w:p>
      <w:pPr>
        <w:pStyle w:val="Heading1"/>
      </w:pPr>
      <w:r>
        <w:t xml:space="preserve">VRSK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~$806M vs. cons $802.4M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~$1.99 vs. cons $1.94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Underwriting Segment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~$578M vs. cons $571.5M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~$3.215B (midpoint, reaffirmed</w:t>
            </w:r>
            <w:r>
              <w:t xml:space="preserve"> </w:t>
            </w:r>
            <m:oMath>
              <m:r>
                <m:t>3.19</m:t>
              </m:r>
              <m:r>
                <m:rPr>
                  <m:sty m:val="p"/>
                </m:rPr>
                <m:t>−</m:t>
              </m:r>
              <m:r>
                <m:t>3.24</m:t>
              </m:r>
              <m:r>
                <m:t>B</m:t>
              </m:r>
              <m:r>
                <m:t>r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3.21B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~56.25% (midpoint, reaffirmed 56.0-56.5% range) vs. cons ~56.2%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~$7.60 (midpoint, reaffirmed</w:t>
            </w:r>
            <w:r>
              <w:t xml:space="preserve"> </w:t>
            </w:r>
            <m:oMath>
              <m:r>
                <m:t>7.45</m:t>
              </m:r>
              <m:r>
                <m:rPr>
                  <m:sty m:val="p"/>
                </m:rPr>
                <m:t>−</m:t>
              </m:r>
              <m:r>
                <m:t>7.75</m:t>
              </m:r>
              <m:r>
                <m:t>r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7.60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H2 OCC Revenue Growth Needed to Hit Reaffirmed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~5.0-5.5% OCC implied for H2 vs. long-term algorithm target 6-8%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VRSK rallied ~36% off its May low and ~15% in the trailing month into this print, pricing in a 'trajectory-confirming' quarter even though management itself flagged Q2 OCC growth would still run below the 6-8% long-term algorithm (tough H2-2025 renewal comps) and margin would lap a 120bp FX tailwind from Q2 2025's unusually high 57.6% EBITDA margin. Sell-side models (Zacks ESP flat at 0.00%, RBC explicitly modeling 'in-line' results with reiterated guidance) suggest no embedded beat-and-raise catalyst, so a likely EPS beat/revenue in-line print with an unchanged (not raised) full-year guide risks a 'sell-the-news' reaction given the stretched run-up and near-target valuation. Because full-year guidance is being reaffirmed rather than raised, hitting it now requires a steeper H2 OCC acceleration than previously modeled if Q2 organic growth doesn't clearly beat Q1's 4.7% - this out-period math typically causes analysts to trim H2/FY estimates over the following days even after a headline beat, producing a fade rather than a durable follow-through or a flat stabilization.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2026-07-29T00:21:10Z</dcterms:created>
  <dcterms:modified xsi:type="dcterms:W3CDTF">2026-07-29T00:21:10Z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