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9c47eaf351fb24805b0c975f6ec4db82451289a"/>
    <w:p>
      <w:pPr>
        <w:pStyle w:val="Heading1"/>
      </w:pPr>
      <w:r>
        <w:t xml:space="preserve">Verisk Analytics (VRSK)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Wednesday, July 29, 2026 (before market open) |</w:t>
      </w:r>
      <w:r>
        <w:t xml:space="preserve"> </w:t>
      </w:r>
      <w:r>
        <w:rPr>
          <w:b/>
          <w:bCs/>
        </w:rPr>
        <w:t xml:space="preserve">Event:</w:t>
      </w:r>
      <w:r>
        <w:t xml:space="preserve"> </w:t>
      </w:r>
      <w:r>
        <w:t xml:space="preserve">2026Q2 Earnings Call</w:t>
      </w:r>
    </w:p>
    <w:p>
      <w:r>
        <w:pict>
          <v:rect style="width:0;height:1.5pt" o:hralign="center" o:hrstd="t" o:hr="t"/>
        </w:pict>
      </w:r>
    </w:p>
    <w:bookmarkStart w:id="9" w:name="quick-take"/>
    <w:p>
      <w:pPr>
        <w:pStyle w:val="Heading2"/>
      </w:pPr>
      <w:r>
        <w:t xml:space="preserve">Quick Take</w:t>
      </w:r>
    </w:p>
    <w:p>
      <w:pPr>
        <w:pStyle w:val="FirstParagraph"/>
      </w:pPr>
      <w:r>
        <w:t xml:space="preserve">Verisk heads into its second-quarter print with the stock having clawed back nearly all of a brutal early-2026 drawdown — shares fell from roughly $220 in early January to a low near</w:t>
      </w:r>
      <w:r>
        <w:t xml:space="preserve"> </w:t>
      </w:r>
      <m:oMath>
        <m:r>
          <m:t>156</m:t>
        </m:r>
        <m:r>
          <m:t>i</m:t>
        </m:r>
        <m:r>
          <m:t>n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  <m:r>
          <m:t>M</m:t>
        </m:r>
        <m:r>
          <m:t>a</m:t>
        </m:r>
        <m:r>
          <m:t>y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r</m:t>
        </m:r>
        <m:r>
          <m:t>a</m:t>
        </m:r>
        <m:r>
          <m:t>l</m:t>
        </m:r>
        <m:r>
          <m:t>l</m:t>
        </m:r>
        <m:r>
          <m:t>y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212.30** at Wednesday's close, just off 52-week highs. The setup is a "prove it" quarter: management has told investors that Q1 was the growth trough and results should build steadily through the year, but it has also explicitly flagged Q2 as a quarter where organic growth could</w:t>
      </w:r>
      <w:r>
        <w:t xml:space="preserve"> </w:t>
      </w:r>
      <w:r>
        <w:rPr>
          <w:i/>
          <w:iCs/>
        </w:rPr>
        <w:t xml:space="preserve">still</w:t>
      </w:r>
      <w:r>
        <w:t xml:space="preserve"> </w:t>
      </w:r>
      <w:r>
        <w:t xml:space="preserve">run below the long-term algorithm because of tough prior-year comparisons and a currency-related margin headwind. Investors will be looking for confirmation that the back-half acceleration narrative remains intact, updates on AI monetization progress, and any additional detail on capital deployment following the collapsed AccuLynx acquisition.</w:t>
      </w:r>
    </w:p>
    <w:p>
      <w:r>
        <w:pict>
          <v:rect style="width:0;height:1.5pt" o:hralign="center" o:hrstd="t" o:hr="t"/>
        </w:pict>
      </w:r>
    </w:p>
    <w:bookmarkEnd w:id="9"/>
    <w:bookmarkStart w:id="10" w:name="X7a8f2b54d3a61f96fd27188d819e0688bcdc537"/>
    <w:p>
      <w:pPr>
        <w:pStyle w:val="Heading2"/>
      </w:pPr>
      <w:r>
        <w:t xml:space="preserve">1. What Wall Street Expects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Consensus is centered around</w:t>
      </w:r>
      <w:r>
        <w:t xml:space="preserve"> </w:t>
      </w:r>
      <w:r>
        <w:rPr>
          <w:b/>
          <w:bCs/>
        </w:rPr>
        <w:t xml:space="preserve">$802 million</w:t>
      </w:r>
      <w:r>
        <w:t xml:space="preserve">, implying roughly 4% year-over-year growth — a deceleration from the 7.8% growth Verisk posted in Q2 2025.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EPS:</w:t>
      </w:r>
      <w:r>
        <w:t xml:space="preserve"> </w:t>
      </w:r>
      <w:r>
        <w:t xml:space="preserve">Consensus sits around</w:t>
      </w:r>
      <w:r>
        <w:t xml:space="preserve"> </w:t>
      </w:r>
      <m:oMath>
        <m:r>
          <m:t>1.93</m:t>
        </m:r>
        <m:r>
          <m:rPr>
            <m:sty m:val="p"/>
          </m:rPr>
          <m:t>–</m:t>
        </m:r>
      </m:oMath>
      <w:r>
        <w:rPr>
          <w:b/>
          <w:bCs/>
        </w:rPr>
        <w:t xml:space="preserve">1.94</w:t>
      </w:r>
      <w:r>
        <w:t xml:space="preserve">, up modestly from $1.88 in the year-ago quarter.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Beat history:</w:t>
      </w:r>
      <w:r>
        <w:t xml:space="preserve"> </w:t>
      </w:r>
      <w:r>
        <w:t xml:space="preserve">Verisk has topped consensus EPS in each of the last four quarters, though the setup this time is muddier — one earnings-model provider notes it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conclusively predict a beat this quarter given a neutral "Earnings ESP" reading.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Full-year guidance (reaffirmed at Q1):</w:t>
      </w:r>
      <w:r>
        <w:t xml:space="preserve"> </w:t>
      </w:r>
      <w:r>
        <w:t xml:space="preserve">Revenue of</w:t>
      </w:r>
      <w:r>
        <w:t xml:space="preserve"> </w:t>
      </w:r>
      <m:oMath>
        <m:r>
          <m:t>3.19</m:t>
        </m:r>
        <m:r>
          <m:t>B</m:t>
        </m:r>
        <m:r>
          <m:rPr>
            <m:sty m:val="p"/>
          </m:rPr>
          <m:t>–</m:t>
        </m:r>
      </m:oMath>
      <w:r>
        <w:t xml:space="preserve">3.24B, adjusted EBITDA of</w:t>
      </w:r>
      <w:r>
        <w:t xml:space="preserve"> </w:t>
      </w:r>
      <m:oMath>
        <m:r>
          <m:t>1.79</m:t>
        </m:r>
        <m:r>
          <m:t>B</m:t>
        </m:r>
        <m:r>
          <m:rPr>
            <m:sty m:val="p"/>
          </m:rPr>
          <m:t>–</m:t>
        </m:r>
      </m:oMath>
      <w:r>
        <w:t xml:space="preserve">1.83B (56.0%–56.5% margin), and diluted adjusted EPS of</w:t>
      </w:r>
      <w:r>
        <w:t xml:space="preserve"> </w:t>
      </w:r>
      <m:oMath>
        <m:r>
          <m:t>7.45</m:t>
        </m:r>
        <m:r>
          <m:rPr>
            <m:sty m:val="p"/>
          </m:rPr>
          <m:t>–</m:t>
        </m:r>
      </m:oMath>
      <w:r>
        <w:t xml:space="preserve">7.75.</w:t>
      </w:r>
    </w:p>
    <w:bookmarkEnd w:id="10"/>
    <w:bookmarkStart w:id="11" w:name="X89d39d9afebd6bedd887e65af22bf730113b78e"/>
    <w:p>
      <w:pPr>
        <w:pStyle w:val="Heading2"/>
      </w:pPr>
      <w:r>
        <w:t xml:space="preserve">2. Setting the Stage: What Happened Last Quarter</w:t>
      </w:r>
    </w:p>
    <w:p>
      <w:pPr>
        <w:pStyle w:val="FirstParagraph"/>
      </w:pPr>
      <w:r>
        <w:t xml:space="preserve">Verisk's Q1 2026 results came in modestly ahead of the company's own expectations even as headline growth cooled. Revenue reached $783 million (up 3.9% reported, 4.7% organic constant currency), with adjusted EBITDA growing 5.9% OCC and margin expanding 60 basis points to 55.9%. Management was explicit that the softer growth reflected known, temporary factors:</w:t>
      </w:r>
      <w:r>
        <w:t xml:space="preserve"> </w:t>
      </w:r>
      <w:r>
        <w:rPr>
          <w:b/>
          <w:bCs/>
        </w:rPr>
        <w:t xml:space="preserve">the carryover impact of unusually low weather activity, tougher renewal comparisons versus a strong prior year, and a work stoppage on a federal government contract.</w:t>
      </w:r>
    </w:p>
    <w:p>
      <w:pPr>
        <w:pStyle w:val="BodyText"/>
      </w:pPr>
      <w:r>
        <w:t xml:space="preserve">Importantly, CFO Elizabeth Mann set expectations for the shape of the year on that call: management said it expected</w:t>
      </w:r>
      <w:r>
        <w:t xml:space="preserve"> </w:t>
      </w:r>
      <w:r>
        <w:rPr>
          <w:b/>
          <w:bCs/>
        </w:rPr>
        <w:t xml:space="preserve">Q1 to be the trough, both in growth rate and absolute dollar terms</w:t>
      </w:r>
      <w:r>
        <w:t xml:space="preserve">, with a steady dollar build in reported revenue through 2026. But she also cautioned that</w:t>
      </w:r>
      <w:r>
        <w:t xml:space="preserve"> </w:t>
      </w:r>
      <w:r>
        <w:rPr>
          <w:b/>
          <w:bCs/>
        </w:rPr>
        <w:t xml:space="preserve">Q2 could still show OCC growth below the long-term guidance range</w:t>
      </w:r>
      <w:r>
        <w:t xml:space="preserve"> </w:t>
      </w:r>
      <w:r>
        <w:t xml:space="preserve">because year-over-year headwinds from the strong second-half-2025 renewal cycle persist, and flagged that</w:t>
      </w:r>
      <w:r>
        <w:t xml:space="preserve"> </w:t>
      </w:r>
      <w:r>
        <w:rPr>
          <w:b/>
          <w:bCs/>
        </w:rPr>
        <w:t xml:space="preserve">Q2 2025's reported margin got a 120-basis-point lift from FX that will not repeat</w:t>
      </w:r>
      <w:r>
        <w:t xml:space="preserve"> </w:t>
      </w:r>
      <w:r>
        <w:t xml:space="preserve">— a real headwind to watch in tomorrow's margin comparison (Q2 2025 adjusted EBITDA margin was an unusually high 57.6%).</w:t>
      </w:r>
    </w:p>
    <w:bookmarkEnd w:id="11"/>
    <w:bookmarkStart w:id="12" w:name="Xaef221aaad732c6d49c85b538c7210226d6a6fd"/>
    <w:p>
      <w:pPr>
        <w:pStyle w:val="Heading2"/>
      </w:pPr>
      <w:r>
        <w:t xml:space="preserve">3. Key Themes to Watch on the Call</w:t>
      </w:r>
    </w:p>
    <w:p>
      <w:pPr>
        <w:pStyle w:val="FirstParagraph"/>
      </w:pPr>
      <w:r>
        <w:rPr>
          <w:b/>
          <w:bCs/>
        </w:rPr>
        <w:t xml:space="preserve">a) Subscription durability vs. transactional weakness.</w:t>
      </w:r>
      <w:r>
        <w:t xml:space="preserve"> </w:t>
      </w:r>
      <w:r>
        <w:t xml:space="preserve">Subscription revenue (84% of the mix) grew a strong 7% OCC in Q1, decelerating from over 10% growth a year earlier but still described by management as broad-based across Forms/Rules/Loss Costs, Catastrophe &amp; Risk Solutions, anti-fraud, and Life. Transactional revenue, by contrast, fell 6.1% OCC in Q1 due largely to lower weather-related claims volume versus a Hurricane Helene/Milton-boosted prior year, plus softness in personal auto and property overage revenue. Watch whether transactional trends stabilize or remain a drag in Q2.</w:t>
      </w:r>
    </w:p>
    <w:p>
      <w:pPr>
        <w:pStyle w:val="BodyText"/>
      </w:pPr>
      <w:r>
        <w:rPr>
          <w:b/>
          <w:bCs/>
        </w:rPr>
        <w:t xml:space="preserve">b) Pricing power amid a softening underwriting cycle.</w:t>
      </w:r>
      <w:r>
        <w:t xml:space="preserve"> </w:t>
      </w:r>
      <w:r>
        <w:t xml:space="preserve">Management described 2025 as one of the best underwriting years in memory, with carriers now shifting focus from profitability to growth — increasing competition and softening pricing, especially in commercial property. Despite this, Verisk says it continues to secure</w:t>
      </w:r>
      <w:r>
        <w:t xml:space="preserve"> </w:t>
      </w:r>
      <w:r>
        <w:rPr>
          <w:b/>
          <w:bCs/>
        </w:rPr>
        <w:t xml:space="preserve">strong price increases on multi-year contract renewals (averaging 4–5 year terms)</w:t>
      </w:r>
      <w:r>
        <w:t xml:space="preserve">, arguing that data/analytics demand is rising precisely because carriers need better risk selection in a more competitive market. Confirmation that this dynamic held in Q2 will be a key signal.</w:t>
      </w:r>
    </w:p>
    <w:p>
      <w:pPr>
        <w:pStyle w:val="BodyText"/>
      </w:pPr>
      <w:r>
        <w:rPr>
          <w:b/>
          <w:bCs/>
        </w:rPr>
        <w:t xml:space="preserve">c) AI monetization — still early, but strategically central.</w:t>
      </w:r>
      <w:r>
        <w:t xml:space="preserve"> </w:t>
      </w:r>
      <w:r>
        <w:t xml:space="preserve">CEO Lee Shavel spent much of the Q1 call detailing AI progress: strong client engagement at the VIC and IFM conferences, over 20 follow-up meetings tied to "Augmented Underwriting," and a competitive win to become a strategic AI/agentic-underwriting partner for a global insurer. However, he also flagged that</w:t>
      </w:r>
      <w:r>
        <w:t xml:space="preserve"> </w:t>
      </w:r>
      <w:r>
        <w:rPr>
          <w:b/>
          <w:bCs/>
        </w:rPr>
        <w:t xml:space="preserve">contract negotiations for AI-related deals are taking longer</w:t>
      </w:r>
      <w:r>
        <w:t xml:space="preserve"> </w:t>
      </w:r>
      <w:r>
        <w:t xml:space="preserve">due to governance, IP, and compliance complexity — a modest note of caution investors should track for signs of acceleration or further delay. On margin, CFO Mann said AI investment is currently "a push" — offsetting productivity gains — embedded within the existing margin guide rather than a distinct upside driver yet.</w:t>
      </w:r>
    </w:p>
    <w:p>
      <w:pPr>
        <w:pStyle w:val="BodyText"/>
      </w:pPr>
      <w:r>
        <w:rPr>
          <w:b/>
          <w:bCs/>
        </w:rPr>
        <w:t xml:space="preserve">d) Capital allocation after the AccuLynx collapse.</w:t>
      </w:r>
      <w:r>
        <w:t xml:space="preserve"> </w:t>
      </w:r>
      <w:r>
        <w:t xml:space="preserve">In late 2025, Verisk terminated its</w:t>
      </w:r>
      <w:r>
        <w:t xml:space="preserve"> </w:t>
      </w:r>
      <m:oMath>
        <m:r>
          <m:t>2.35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a</m:t>
        </m:r>
        <m:r>
          <m:t>g</m:t>
        </m:r>
        <m:r>
          <m:t>r</m:t>
        </m:r>
        <m:r>
          <m:t>e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t</m:t>
        </m:r>
        <m:r>
          <m:t>o</m:t>
        </m:r>
        <m:r>
          <m:t>a</m:t>
        </m:r>
        <m:r>
          <m:t>c</m:t>
        </m:r>
        <m:r>
          <m:t>q</m:t>
        </m:r>
        <m:r>
          <m:t>u</m:t>
        </m:r>
        <m:r>
          <m:t>i</m:t>
        </m:r>
        <m:r>
          <m:t>r</m:t>
        </m:r>
        <m:r>
          <m:t>e</m:t>
        </m:r>
        <m:r>
          <m:t>A</m:t>
        </m:r>
        <m:r>
          <m:t>c</m:t>
        </m:r>
        <m:r>
          <m:t>c</m:t>
        </m:r>
        <m:r>
          <m:t>u</m:t>
        </m:r>
        <m:r>
          <m:t>L</m:t>
        </m:r>
        <m:r>
          <m:t>y</m:t>
        </m:r>
        <m:r>
          <m:t>n</m:t>
        </m:r>
        <m:r>
          <m:t>x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t</m:t>
        </m:r>
        <m:r>
          <m:t>h</m:t>
        </m:r>
        <m:r>
          <m:t>e</m:t>
        </m:r>
        <m:r>
          <m:t>F</m:t>
        </m:r>
        <m:r>
          <m:t>T</m:t>
        </m:r>
        <m:r>
          <m:t>C</m:t>
        </m:r>
        <m:r>
          <m:t>f</m:t>
        </m:r>
        <m:r>
          <m:t>a</m:t>
        </m:r>
        <m:r>
          <m:t>i</m:t>
        </m:r>
        <m:r>
          <m:t>l</m:t>
        </m:r>
        <m:r>
          <m:t>e</m:t>
        </m:r>
        <m:r>
          <m:t>d</m:t>
        </m:r>
        <m:r>
          <m:t>t</m:t>
        </m:r>
        <m:r>
          <m:t>o</m:t>
        </m:r>
        <m:r>
          <m:t>c</m:t>
        </m:r>
        <m:r>
          <m:t>o</m:t>
        </m:r>
        <m:r>
          <m:t>m</m:t>
        </m:r>
        <m:r>
          <m:t>p</m:t>
        </m:r>
        <m:r>
          <m:t>l</m:t>
        </m:r>
        <m:r>
          <m:t>e</m:t>
        </m:r>
        <m:r>
          <m:t>t</m:t>
        </m:r>
        <m:r>
          <m:t>e</m:t>
        </m:r>
        <m:r>
          <m:t>i</m:t>
        </m:r>
        <m:r>
          <m:t>t</m:t>
        </m:r>
        <m:r>
          <m:t>s</m:t>
        </m:r>
        <m:r>
          <m:t>r</m:t>
        </m:r>
        <m:r>
          <m:t>e</m:t>
        </m:r>
        <m:r>
          <m:t>v</m:t>
        </m:r>
        <m:r>
          <m:t>i</m:t>
        </m:r>
        <m:r>
          <m:t>e</m:t>
        </m:r>
        <m:r>
          <m:t>w</m:t>
        </m:r>
        <m:r>
          <m:t>b</m:t>
        </m:r>
        <m:r>
          <m:t>y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n</m:t>
        </m:r>
        <m:r>
          <m:t>t</m:t>
        </m:r>
        <m:r>
          <m:t>r</m:t>
        </m:r>
        <m:r>
          <m:t>a</m:t>
        </m:r>
        <m:r>
          <m:t>c</m:t>
        </m:r>
        <m:r>
          <m:t>t</m:t>
        </m:r>
        <m:r>
          <m:t>u</m:t>
        </m:r>
        <m:r>
          <m:t>a</m:t>
        </m:r>
        <m:r>
          <m:t>l</m:t>
        </m:r>
        <m:r>
          <m:t>d</m:t>
        </m:r>
        <m:r>
          <m:t>e</m:t>
        </m:r>
        <m:r>
          <m:t>a</m:t>
        </m:r>
        <m:r>
          <m:t>d</m:t>
        </m:r>
        <m:r>
          <m:t>l</m:t>
        </m:r>
        <m:r>
          <m:t>i</m:t>
        </m:r>
        <m:r>
          <m:t>n</m:t>
        </m:r>
        <m:r>
          <m:t>e</m:t>
        </m:r>
        <m:r>
          <m:rPr>
            <m:sty m:val="p"/>
          </m:rPr>
          <m:t>,</m:t>
        </m:r>
        <m:r>
          <m:t>t</m:t>
        </m:r>
        <m:r>
          <m:t>r</m:t>
        </m:r>
        <m:r>
          <m:t>i</m:t>
        </m:r>
        <m:r>
          <m:t>g</m:t>
        </m:r>
        <m:r>
          <m:t>g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a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m</m:t>
        </m:r>
        <m:r>
          <m:t>a</m:t>
        </m:r>
        <m:r>
          <m:t>n</m:t>
        </m:r>
        <m:r>
          <m:t>d</m:t>
        </m:r>
        <m:r>
          <m:t>a</m:t>
        </m:r>
        <m:r>
          <m:t>t</m:t>
        </m:r>
        <m:r>
          <m:t>o</m:t>
        </m:r>
        <m:r>
          <m:t>r</m:t>
        </m:r>
        <m:r>
          <m:t>y</m:t>
        </m:r>
        <m:r>
          <m:t>r</m:t>
        </m:r>
        <m:r>
          <m:t>e</m:t>
        </m:r>
        <m:r>
          <m:t>d</m:t>
        </m:r>
        <m:r>
          <m:t>e</m:t>
        </m:r>
        <m:r>
          <m:t>m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l</m:t>
        </m:r>
        <m:r>
          <m:t>a</m:t>
        </m:r>
        <m:r>
          <m:t>t</m:t>
        </m:r>
        <m:r>
          <m:t>e</m:t>
        </m:r>
        <m:r>
          <m:t>d</m:t>
        </m:r>
        <m:r>
          <m:t>n</m:t>
        </m:r>
        <m:r>
          <m:t>o</m:t>
        </m:r>
        <m:r>
          <m:t>t</m:t>
        </m:r>
        <m:r>
          <m:t>e</m:t>
        </m:r>
        <m:r>
          <m:t>s</m:t>
        </m:r>
        <m:r>
          <m:rPr>
            <m:sty m:val="p"/>
          </m:rPr>
          <m:t>(</m:t>
        </m:r>
        <m:r>
          <m:t>A</m:t>
        </m:r>
        <m:r>
          <m:t>c</m:t>
        </m:r>
        <m:r>
          <m:t>c</m:t>
        </m:r>
        <m:r>
          <m:t>u</m:t>
        </m:r>
        <m:r>
          <m:t>L</m:t>
        </m:r>
        <m:r>
          <m:t>y</m:t>
        </m:r>
        <m:r>
          <m:t>n</m:t>
        </m:r>
        <m:r>
          <m:t>x</m:t>
        </m:r>
        <m:r>
          <m:t>h</m:t>
        </m:r>
        <m:r>
          <m:t>a</m:t>
        </m:r>
        <m:r>
          <m:t>s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d</m:t>
        </m:r>
        <m:r>
          <m:t>i</m:t>
        </m:r>
        <m:r>
          <m:t>s</m:t>
        </m:r>
        <m:r>
          <m:t>p</m:t>
        </m:r>
        <m:r>
          <m:t>u</m:t>
        </m:r>
        <m:r>
          <m:t>t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t>t</m:t>
        </m:r>
        <m:r>
          <m:t>e</m:t>
        </m:r>
        <m:r>
          <m:t>r</m:t>
        </m:r>
        <m:r>
          <m:t>m</m:t>
        </m:r>
        <m:r>
          <m:t>i</m:t>
        </m:r>
        <m:r>
          <m:t>n</m:t>
        </m:r>
        <m:r>
          <m:t>a</m:t>
        </m:r>
        <m:r>
          <m:t>t</m:t>
        </m:r>
        <m:r>
          <m:t>i</m:t>
        </m:r>
        <m:r>
          <m:t>o</m:t>
        </m:r>
        <m:sSup>
          <m:e>
            <m:r>
              <m:t>n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v</m:t>
        </m:r>
        <m:r>
          <m:t>a</m:t>
        </m:r>
        <m:r>
          <m:t>l</m:t>
        </m:r>
        <m:r>
          <m:t>i</m:t>
        </m:r>
        <m:r>
          <m:t>d</m:t>
        </m:r>
        <m:r>
          <m:t>i</m:t>
        </m:r>
        <m:r>
          <m:t>t</m:t>
        </m:r>
        <m:r>
          <m:t>y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T</m:t>
        </m:r>
        <m:r>
          <m:t>h</m:t>
        </m:r>
        <m:r>
          <m:t>a</m:t>
        </m:r>
        <m:r>
          <m:t>t</m:t>
        </m:r>
        <m:r>
          <m:t>f</m:t>
        </m:r>
        <m:r>
          <m:t>r</m:t>
        </m:r>
        <m:r>
          <m:t>e</m:t>
        </m:r>
        <m:r>
          <m:t>e</m:t>
        </m:r>
        <m:r>
          <m:t>d</m:t>
        </m:r>
        <m:r>
          <m:rPr>
            <m:sty m:val="p"/>
          </m:rPr>
          <m:t>−</m:t>
        </m:r>
        <m:r>
          <m:t>u</m:t>
        </m:r>
        <m:r>
          <m:t>p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c</m:t>
        </m:r>
        <m:r>
          <m:t>a</m:t>
        </m:r>
        <m:r>
          <m:t>p</m:t>
        </m:r>
        <m:r>
          <m:t>a</m:t>
        </m:r>
        <m:r>
          <m:t>c</m:t>
        </m:r>
        <m:r>
          <m:t>i</m:t>
        </m:r>
        <m:r>
          <m:t>t</m:t>
        </m:r>
        <m:r>
          <m:t>y</m:t>
        </m:r>
        <m:r>
          <m:t>a</m:t>
        </m:r>
        <m:r>
          <m:t>p</m:t>
        </m:r>
        <m:r>
          <m:t>p</m:t>
        </m:r>
        <m:r>
          <m:t>e</m:t>
        </m:r>
        <m:r>
          <m:t>a</m:t>
        </m:r>
        <m:r>
          <m:t>r</m:t>
        </m:r>
        <m:r>
          <m:t>s</m:t>
        </m:r>
        <m:r>
          <m:t>t</m:t>
        </m:r>
        <m:r>
          <m:t>o</m:t>
        </m:r>
        <m:r>
          <m:t>b</m:t>
        </m:r>
        <m:r>
          <m:t>e</m:t>
        </m:r>
        <m:r>
          <m:t>f</m:t>
        </m:r>
        <m:r>
          <m:t>l</m:t>
        </m:r>
        <m:r>
          <m:t>o</m:t>
        </m:r>
        <m:r>
          <m:t>w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t</m:t>
        </m:r>
        <m:r>
          <m:t>o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rPr>
            <m:sty m:val="p"/>
          </m:rPr>
          <m:t>:</m:t>
        </m:r>
        <m:r>
          <m:t>V</m:t>
        </m:r>
        <m:r>
          <m:t>e</m:t>
        </m:r>
        <m:r>
          <m:t>r</m:t>
        </m:r>
        <m:r>
          <m:t>i</m:t>
        </m:r>
        <m:r>
          <m:t>s</m:t>
        </m:r>
        <m:r>
          <m:t>k</m:t>
        </m:r>
        <m:r>
          <m:t>l</m:t>
        </m:r>
        <m:r>
          <m:t>a</m:t>
        </m:r>
        <m:r>
          <m:t>u</m:t>
        </m:r>
        <m:r>
          <m:t>n</m:t>
        </m:r>
        <m:r>
          <m:t>c</m:t>
        </m:r>
        <m:r>
          <m:t>h</m:t>
        </m:r>
        <m:r>
          <m:t>e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1.5 billion accelerated share repurchase program** in Q1 2026 (funded partly via $1B of new senior notes and a $500M term loan), retired 7.6 million shares in the quarter, and had about $1 billion left under authorization as of Q1-end. Leverage stood at 2.4x debt/EBITDA, within the targeted 2–3x range, though net interest expense is guided higher for the balance of the year as the new debt runs at a full-quarter rate. Expect questions on further buyback pace and M&amp;A appetite given the AccuLynx fallout.</w:t>
      </w:r>
    </w:p>
    <w:p>
      <w:pPr>
        <w:pStyle w:val="BodyText"/>
      </w:pPr>
      <w:r>
        <w:rPr>
          <w:b/>
          <w:bCs/>
        </w:rPr>
        <w:t xml:space="preserve">e) Nasdaq-100 removal.</w:t>
      </w:r>
      <w:r>
        <w:t xml:space="preserve"> </w:t>
      </w:r>
      <w:r>
        <w:t xml:space="preserve">Verisk was removed from the Nasdaq-100 Index in the June 2026 quarterly rebalance (alongside Charter, Cognizant, Insmed, and Zscaler), which likely drove passive-fund outflows and contributed to the stock's underperformance earlier this year. This is a technical/index overhang rather than a fundamental one, but it has been part of the sentiment narrative analysts are citing.</w:t>
      </w:r>
    </w:p>
    <w:p>
      <w:pPr>
        <w:pStyle w:val="BodyText"/>
      </w:pPr>
      <w:r>
        <w:rPr>
          <w:b/>
          <w:bCs/>
        </w:rPr>
        <w:t xml:space="preserve">f) Leadership change.</w:t>
      </w:r>
      <w:r>
        <w:t xml:space="preserve"> </w:t>
      </w:r>
      <w:r>
        <w:t xml:space="preserve">Verisk disclosed on July 28 (the day before earnings) that EVP &amp; Chief Information Officer Nick Daffan — a 20-year veteran who led the company's mainframe-to-cloud migration — is departing the role effective August 3, transitioning to strategic advisor through year-end, with CTO Jeff Negrete stepping in as interim CIO. Not likely a major call topic but worth noting as a modest management transition heading into the AI-investment phase.</w:t>
      </w:r>
    </w:p>
    <w:bookmarkEnd w:id="12"/>
    <w:bookmarkStart w:id="13" w:name="Xe0cc706a55b5edf927bf13f1ba1ea6233311281"/>
    <w:p>
      <w:pPr>
        <w:pStyle w:val="Heading2"/>
      </w:pPr>
      <w:r>
        <w:t xml:space="preserve">4. Longer-Term Framework (Context from March 2026 Investor Day)</w:t>
      </w:r>
    </w:p>
    <w:p>
      <w:pPr>
        <w:pStyle w:val="FirstParagraph"/>
      </w:pPr>
      <w:r>
        <w:t xml:space="preserve">At its March Investor Day, Verisk reiterated its multi-year growth algorithm:</w:t>
      </w:r>
      <w:r>
        <w:t xml:space="preserve"> </w:t>
      </w:r>
      <w:r>
        <w:rPr>
          <w:b/>
          <w:bCs/>
        </w:rPr>
        <w:t xml:space="preserve">6–8% organic constant currency revenue growth, 7–10% OCC adjusted EBITDA growth, and 25–75 basis points of annual adjusted EBITDA margin expansion.</w:t>
      </w:r>
      <w:r>
        <w:t xml:space="preserve"> </w:t>
      </w:r>
      <w:r>
        <w:t xml:space="preserve">Q1's 4.7% OCC revenue growth and full-year guide (implying roughly 4-6% reported growth) sit below that long-term target band — management's core message has been that this is transitory, not structural, but Q2 is the quarter to start showing proof.</w:t>
      </w:r>
    </w:p>
    <w:bookmarkEnd w:id="13"/>
    <w:bookmarkStart w:id="14" w:name="X6b7f050ac69e7e9349ca1ff08d5984a45b66b5e"/>
    <w:p>
      <w:pPr>
        <w:pStyle w:val="Heading2"/>
      </w:pPr>
      <w:r>
        <w:t xml:space="preserve">5. Stock Performance &amp; Valuation Context</w:t>
      </w:r>
    </w:p>
    <w:p>
      <w:pPr>
        <w:pStyle w:val="FirstParagraph"/>
      </w:pPr>
      <w:r>
        <w:t xml:space="preserve">VRSK shares have been on a wild ride in 2026: down roughly 30% from January highs (~$220) to a May low near $156 amid concerns over AI disruption risk to Verisk's data moat, slowing growth, softer catastrophe-related demand, reduced federal contract activity, and Nasdaq-100 outflows — before staging a sharp recovery back above $212 heading into this print, up nearly 15% over the trailing month. Analyst sentiment is described as a "Moderate Buy," with average price targets in the</w:t>
      </w:r>
      <w:r>
        <w:t xml:space="preserve"> </w:t>
      </w:r>
      <m:oMath>
        <m:r>
          <m:t>220</m:t>
        </m:r>
        <m:r>
          <m:rPr>
            <m:sty m:val="p"/>
          </m:rPr>
          <m:t>–</m:t>
        </m:r>
      </m:oMath>
      <w:r>
        <w:t xml:space="preserve">225 range — modest upside from current levels, suggesting the market has already priced in a fair amount of the "gradual improvement" story.</w:t>
      </w:r>
    </w:p>
    <w:bookmarkEnd w:id="14"/>
    <w:bookmarkStart w:id="15" w:name="X21b4a24508176f38636bf8edae12c1a9db66baa"/>
    <w:p>
      <w:pPr>
        <w:pStyle w:val="Heading2"/>
      </w:pPr>
      <w:r>
        <w:t xml:space="preserve">6. What Would Move the Stock Tomorrow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Upside catalysts:</w:t>
      </w:r>
      <w:r>
        <w:t xml:space="preserve"> </w:t>
      </w:r>
      <w:r>
        <w:t xml:space="preserve">Revenue/EPS beat with clear sequential improvement in OCC growth vs. Q1's 4.7%; commentary confirming pricing strength holds despite softening premium growth; concrete AI monetization wins/contract signings beyond the single disclosed agentic-underwriting partnership; incremental buyback acceleration; any early color on 2027 growth re-acceleration.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Downside risks:</w:t>
      </w:r>
      <w:r>
        <w:t xml:space="preserve"> </w:t>
      </w:r>
      <w:r>
        <w:t xml:space="preserve">Growth undershooting even the already-lowered bar (given tough Q2 2025 comps of 7.8%/7.9% reported/OCC growth); margin compression from the lapping of last year's 120bp FX tailwind; continued transactional-revenue weakness tied to low catastrophe activity; further extension of AI-related sales cycles; any incremental guidance trim given first-half headwinds.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This is a "show, don't tell" quarter for Verisk. The company has guided investors to expect Q2 organic growth to still lag its long-term target before a second-half inflection, so the bar for a positive reaction is arguably a confirmation of trajectory (sequential OCC improvement, resilient subscription growth, steady pricing) rather than a blowout number. With the stock having already rallied hard into the print and trading near analyst price targets, the risk/reward for a "meets but doesn't exceed" quarter looks more balanced than it did a few months ago.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2026-07-29T00:21:10Z</dcterms:created>
  <dcterms:modified xsi:type="dcterms:W3CDTF">2026-07-29T00:21:10Z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