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93dcc3cfadd979ad339d40eb6ff4b905827600f"/>
    <w:p>
      <w:pPr>
        <w:pStyle w:val="Heading1"/>
      </w:pPr>
      <w:r>
        <w:t xml:space="preserve">Verisk Analytics (VRSK) — 2026Q2 Earnings Preview</w:t>
      </w:r>
    </w:p>
    <w:p>
      <w:pPr>
        <w:pStyle w:val="BlockText"/>
      </w:pPr>
      <w:r>
        <w:rPr>
          <w:b/>
          <w:bCs/>
        </w:rPr>
        <w:t xml:space="preserve">Timing clarification:</w:t>
      </w:r>
      <w:r>
        <w:t xml:space="preserve"> </w:t>
      </w:r>
      <w:r>
        <w:t xml:space="preserve">Verisk is scheduled to report</w:t>
      </w:r>
      <w:r>
        <w:t xml:space="preserve"> </w:t>
      </w:r>
      <w:r>
        <w:rPr>
          <w:b/>
          <w:bCs/>
        </w:rPr>
        <w:t xml:space="preserve">today, Wednesday, July 29, 2026, before the market opens</w:t>
      </w:r>
      <w:r>
        <w:t xml:space="preserve">, rather than tomorrow. The earnings call is scheduled for</w:t>
      </w:r>
      <w:r>
        <w:t xml:space="preserve"> </w:t>
      </w:r>
      <w:r>
        <w:rPr>
          <w:b/>
          <w:bCs/>
        </w:rPr>
        <w:t xml:space="preserve">8:30 a.m. ET</w:t>
      </w:r>
      <w:r>
        <w:t xml:space="preserve">. (</w:t>
      </w:r>
      <w:hyperlink r:id="rId9">
        <w:r>
          <w:rPr>
            <w:rStyle w:val="Hyperlink"/>
          </w:rPr>
          <w:t xml:space="preserve">globenewswire.com</w:t>
        </w:r>
      </w:hyperlink>
      <w:r>
        <w:t xml:space="preserve">)</w:t>
      </w:r>
    </w:p>
    <w:bookmarkStart w:id="10" w:name="investment-view-going-into-the-print"/>
    <w:p>
      <w:pPr>
        <w:pStyle w:val="Heading2"/>
      </w:pPr>
      <w:r>
        <w:t xml:space="preserve">Investment view going into the print</w:t>
      </w:r>
    </w:p>
    <w:p>
      <w:pPr>
        <w:pStyle w:val="FirstParagraph"/>
      </w:pPr>
      <w:r>
        <w:t xml:space="preserve">This quarter is less about whether Verisk can produce a modest EPS beat and more about whether management can validate its promised</w:t>
      </w:r>
      <w:r>
        <w:t xml:space="preserve"> </w:t>
      </w:r>
      <w:r>
        <w:rPr>
          <w:b/>
          <w:bCs/>
        </w:rPr>
        <w:t xml:space="preserve">second-half growth acceleration</w:t>
      </w:r>
      <w:r>
        <w:t xml:space="preserve">.</w:t>
      </w:r>
    </w:p>
    <w:p>
      <w:pPr>
        <w:pStyle w:val="BodyText"/>
      </w:pPr>
      <w:r>
        <w:t xml:space="preserve">First-quarter organic constant-currency revenue growth slowed to 4.7%, below Verisk’s 6%–8% long-term target, as low weather activity, difficult subscription-renewal comparisons and a federal-contract work stoppage weighed on results. Management called Q1 the trough but warned that several headwinds would persist into Q2.</w:t>
      </w:r>
    </w:p>
    <w:p>
      <w:pPr>
        <w:pStyle w:val="BodyText"/>
      </w:pPr>
      <w:r>
        <w:t xml:space="preserve">Accordingly, the most constructive outcome would combine:</w:t>
      </w:r>
    </w:p>
    <w:p>
      <w:pPr>
        <w:pStyle w:val="Compact"/>
        <w:numPr>
          <w:ilvl w:val="0"/>
          <w:numId w:val="1001"/>
        </w:numPr>
      </w:pPr>
      <w:r>
        <w:t xml:space="preserve">Stable or improving subscription growth;</w:t>
      </w:r>
    </w:p>
    <w:p>
      <w:pPr>
        <w:pStyle w:val="Compact"/>
        <w:numPr>
          <w:ilvl w:val="0"/>
          <w:numId w:val="1001"/>
        </w:numPr>
      </w:pPr>
      <w:r>
        <w:t xml:space="preserve">Evidence that transactional claims revenue is bottoming;</w:t>
      </w:r>
    </w:p>
    <w:p>
      <w:pPr>
        <w:pStyle w:val="Compact"/>
        <w:numPr>
          <w:ilvl w:val="0"/>
          <w:numId w:val="1001"/>
        </w:numPr>
      </w:pPr>
      <w:r>
        <w:t xml:space="preserve">Reaffirmed full-year guidance with greater confidence in the second-half ramp; and</w:t>
      </w:r>
    </w:p>
    <w:p>
      <w:pPr>
        <w:pStyle w:val="Compact"/>
        <w:numPr>
          <w:ilvl w:val="0"/>
          <w:numId w:val="1001"/>
        </w:numPr>
      </w:pPr>
      <w:r>
        <w:t xml:space="preserve">Continued margin discipline despite investments in AI and new platforms.</w:t>
      </w:r>
    </w:p>
    <w:p>
      <w:pPr>
        <w:pStyle w:val="FirstParagraph"/>
      </w:pPr>
      <w:r>
        <w:t xml:space="preserve">The shares have rallied sharply into the report, closing near</w:t>
      </w:r>
      <w:r>
        <w:t xml:space="preserve"> </w:t>
      </w:r>
      <w:r>
        <w:rPr>
          <w:b/>
          <w:bCs/>
        </w:rPr>
        <w:t xml:space="preserve">$212 on July 28</w:t>
      </w:r>
      <w:r>
        <w:t xml:space="preserve">, but remain approximately 5% below their year-end 2025 level. Expectations therefore appear more balanced than they were earlier in the year, although the stock still carries a premium valuation.</w:t>
      </w:r>
    </w:p>
    <w:p>
      <w:r>
        <w:pict>
          <v:rect style="width:0;height:1.5pt" o:hralign="center" o:hrstd="t" o:hr="t"/>
        </w:pict>
      </w:r>
    </w:p>
    <w:bookmarkEnd w:id="10"/>
    <w:bookmarkStart w:id="12" w:name="headline-expectations"/>
    <w:p>
      <w:pPr>
        <w:pStyle w:val="Heading2"/>
      </w:pPr>
      <w:r>
        <w:t xml:space="preserve">Headline expectations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2026 consensus/benchmark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Implied change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~$804 million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$773 million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~4%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$1.94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$1.88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~3%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No reliable public consensus identified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$445 million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EBITDA margin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Key watch item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57.6%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Difficult comparison</w:t>
            </w:r>
          </w:p>
        </w:tc>
      </w:tr>
    </w:tbl>
    <w:p>
      <w:pPr>
        <w:pStyle w:val="BodyText"/>
      </w:pPr>
      <w:r>
        <w:t xml:space="preserve">Published estimates call for adjusted EPS of $1.94, with a range of</w:t>
      </w:r>
      <w:r>
        <w:t xml:space="preserve"> </w:t>
      </w:r>
      <m:oMath>
        <m:r>
          <m:t>1.90</m:t>
        </m:r>
        <m:r>
          <m:rPr>
            <m:sty m:val="p"/>
          </m:rPr>
          <m:t>–</m:t>
        </m:r>
      </m:oMath>
      <w:r>
        <w:t xml:space="preserve">1.97, while the revenue consensus is approximately $804 million. (</w:t>
      </w:r>
      <w:hyperlink r:id="rId11">
        <w:r>
          <w:rPr>
            <w:rStyle w:val="Hyperlink"/>
          </w:rPr>
          <w:t xml:space="preserve">marketbeat.com</w:t>
        </w:r>
      </w:hyperlink>
      <w:r>
        <w:t xml:space="preserve">)</w:t>
      </w:r>
    </w:p>
    <w:p>
      <w:pPr>
        <w:pStyle w:val="BodyText"/>
      </w:pPr>
      <w:r>
        <w:t xml:space="preserve">The reported revenue comparison understates underlying growth because Verisk divested Verisk Marketing Solutions, which contributed $68 million of revenue in 2025. More important than reported growth will be the company’s</w:t>
      </w:r>
      <w:r>
        <w:t xml:space="preserve"> </w:t>
      </w:r>
      <w:r>
        <w:rPr>
          <w:b/>
          <w:bCs/>
        </w:rPr>
        <w:t xml:space="preserve">organic constant-currency, or OCC, result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12"/>
    <w:bookmarkStart w:id="14" w:name="X8a79d55e68166f64f2b07ba21e29f617e234299"/>
    <w:p>
      <w:pPr>
        <w:pStyle w:val="Heading2"/>
      </w:pPr>
      <w:r>
        <w:t xml:space="preserve">The central question: Is growth actually reaccelerating?</w:t>
      </w:r>
    </w:p>
    <w:p>
      <w:pPr>
        <w:pStyle w:val="FirstParagraph"/>
      </w:pPr>
      <w:r>
        <w:t xml:space="preserve">In Q1, Verisk reported: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4.7% OCC revenue growth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7.0% OCC subscription growth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6.1% decline in transactional revenue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5.3% growth in Underwriting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3.4% growth in Claims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5.9% OCC adjusted EBITDA growth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55.9% adjusted EBITDA margin</w:t>
      </w:r>
      <w:r>
        <w:t xml:space="preserve">, up 60 basis points</w:t>
      </w:r>
    </w:p>
    <w:p>
      <w:pPr>
        <w:pStyle w:val="FirstParagraph"/>
      </w:pPr>
      <w:r>
        <w:t xml:space="preserve">Management explicitly said Q2 OCC growth could remain below the 6%–8% long-term range. Thus, a Q2 result around 5% would not necessarily undermine the annual story. Investors should focus on the components and the implied exit rate.</w:t>
      </w:r>
    </w:p>
    <w:bookmarkStart w:id="13" w:name="what-would-constitute-a-healthy-print"/>
    <w:p>
      <w:pPr>
        <w:pStyle w:val="Heading3"/>
      </w:pPr>
      <w:r>
        <w:t xml:space="preserve">What would constitute a healthy print?</w:t>
      </w:r>
    </w:p>
    <w:p>
      <w:pPr>
        <w:pStyle w:val="FirstParagraph"/>
      </w:pPr>
      <w:r>
        <w:t xml:space="preserve">A reasonable “good enough” combination would be:</w:t>
      </w:r>
    </w:p>
    <w:p>
      <w:pPr>
        <w:pStyle w:val="Compact"/>
        <w:numPr>
          <w:ilvl w:val="0"/>
          <w:numId w:val="1003"/>
        </w:numPr>
      </w:pPr>
      <w:r>
        <w:t xml:space="preserve">OCC growth modestly above Q1’s 4.7%;</w:t>
      </w:r>
    </w:p>
    <w:p>
      <w:pPr>
        <w:pStyle w:val="Compact"/>
        <w:numPr>
          <w:ilvl w:val="0"/>
          <w:numId w:val="1003"/>
        </w:numPr>
      </w:pPr>
      <w:r>
        <w:t xml:space="preserve">Subscription growth holding near 7%;</w:t>
      </w:r>
    </w:p>
    <w:p>
      <w:pPr>
        <w:pStyle w:val="Compact"/>
        <w:numPr>
          <w:ilvl w:val="0"/>
          <w:numId w:val="1003"/>
        </w:numPr>
      </w:pPr>
      <w:r>
        <w:t xml:space="preserve">A smaller transactional decline;</w:t>
      </w:r>
    </w:p>
    <w:p>
      <w:pPr>
        <w:pStyle w:val="Compact"/>
        <w:numPr>
          <w:ilvl w:val="0"/>
          <w:numId w:val="1003"/>
        </w:numPr>
      </w:pPr>
      <w:r>
        <w:t xml:space="preserve">Continued positive growth in both Underwriting and Claims; and</w:t>
      </w:r>
    </w:p>
    <w:p>
      <w:pPr>
        <w:pStyle w:val="Compact"/>
        <w:numPr>
          <w:ilvl w:val="0"/>
          <w:numId w:val="1003"/>
        </w:numPr>
      </w:pPr>
      <w:r>
        <w:t xml:space="preserve">Management maintaining that consolidated OCC growth will return to the 6%–8% range for full-year 2026.</w:t>
      </w:r>
    </w:p>
    <w:p>
      <w:pPr>
        <w:pStyle w:val="FirstParagraph"/>
      </w:pPr>
      <w:r>
        <w:t xml:space="preserve">Conversely, another quarter near or below Q1 growth, without clearer evidence of a Q3/Q4 rebound, would raise questions about whether the weakness is truly temporary.</w:t>
      </w:r>
    </w:p>
    <w:p>
      <w:r>
        <w:pict>
          <v:rect style="width:0;height:1.5pt" o:hralign="center" o:hrstd="t" o:hr="t"/>
        </w:pict>
      </w:r>
    </w:p>
    <w:bookmarkEnd w:id="13"/>
    <w:bookmarkEnd w:id="14"/>
    <w:bookmarkStart w:id="15" w:name="X13e8eaf4f342cbac80e3ad2c8c9bc2461bb2d52"/>
    <w:p>
      <w:pPr>
        <w:pStyle w:val="Heading2"/>
      </w:pPr>
      <w:r>
        <w:t xml:space="preserve">Subscription revenue remains the most important KPI</w:t>
      </w:r>
    </w:p>
    <w:p>
      <w:pPr>
        <w:pStyle w:val="FirstParagraph"/>
      </w:pPr>
      <w:r>
        <w:t xml:space="preserve">Subscription revenue accounted for 84% of Q1 revenue and is the clearest indicator of Verisk’s underlying franchise health. Its 7% growth came on top of 10.6% growth in the prior-year quarter.</w:t>
      </w:r>
    </w:p>
    <w:p>
      <w:pPr>
        <w:pStyle w:val="BodyText"/>
      </w:pPr>
      <w:r>
        <w:t xml:space="preserve">Investors should listen for:</w:t>
      </w:r>
    </w:p>
    <w:p>
      <w:pPr>
        <w:pStyle w:val="Compact"/>
        <w:numPr>
          <w:ilvl w:val="0"/>
          <w:numId w:val="1004"/>
        </w:numPr>
      </w:pPr>
      <w:r>
        <w:t xml:space="preserve">Pricing achieved in major renewals;</w:t>
      </w:r>
    </w:p>
    <w:p>
      <w:pPr>
        <w:pStyle w:val="Compact"/>
        <w:numPr>
          <w:ilvl w:val="0"/>
          <w:numId w:val="1004"/>
        </w:numPr>
      </w:pPr>
      <w:r>
        <w:t xml:space="preserve">Contract duration and retention;</w:t>
      </w:r>
    </w:p>
    <w:p>
      <w:pPr>
        <w:pStyle w:val="Compact"/>
        <w:numPr>
          <w:ilvl w:val="0"/>
          <w:numId w:val="1004"/>
        </w:numPr>
      </w:pPr>
      <w:r>
        <w:t xml:space="preserve">Adoption of new Core Lines Reimagine modules;</w:t>
      </w:r>
    </w:p>
    <w:p>
      <w:pPr>
        <w:pStyle w:val="Compact"/>
        <w:numPr>
          <w:ilvl w:val="0"/>
          <w:numId w:val="1004"/>
        </w:numPr>
      </w:pPr>
      <w:r>
        <w:t xml:space="preserve">Cross-selling among large insurers;</w:t>
      </w:r>
    </w:p>
    <w:p>
      <w:pPr>
        <w:pStyle w:val="Compact"/>
        <w:numPr>
          <w:ilvl w:val="0"/>
          <w:numId w:val="1004"/>
        </w:numPr>
      </w:pPr>
      <w:r>
        <w:t xml:space="preserve">Growth in catastrophe modeling and life insurance products; and</w:t>
      </w:r>
    </w:p>
    <w:p>
      <w:pPr>
        <w:pStyle w:val="Compact"/>
        <w:numPr>
          <w:ilvl w:val="0"/>
          <w:numId w:val="1004"/>
        </w:numPr>
      </w:pPr>
      <w:r>
        <w:t xml:space="preserve">Any further lengthening of sales cycles due to AI governance and contracting requirements.</w:t>
      </w:r>
    </w:p>
    <w:p>
      <w:pPr>
        <w:pStyle w:val="FirstParagraph"/>
      </w:pPr>
      <w:r>
        <w:t xml:space="preserve">Management said recent large-client contracts have generally carried terms of roughly four to five years, with strong price realization. Sustained subscription growth around the high-single-digit level would support the view that Q1’s consolidated slowdown was primarily a transactional and comparison issue—not deterioration in Verisk’s competitive position.</w:t>
      </w:r>
    </w:p>
    <w:p>
      <w:pPr>
        <w:pStyle w:val="BodyText"/>
      </w:pPr>
      <w:r>
        <w:t xml:space="preserve">A decline toward the mid-single digits would be more concerning because subscription revenue is supposed to be the stabilizing engine of the model.</w:t>
      </w:r>
    </w:p>
    <w:p>
      <w:r>
        <w:pict>
          <v:rect style="width:0;height:1.5pt" o:hralign="center" o:hrstd="t" o:hr="t"/>
        </w:pict>
      </w:r>
    </w:p>
    <w:bookmarkEnd w:id="15"/>
    <w:bookmarkStart w:id="16" w:name="Xd6a9447bdd6470101ccf02852f330f7199c3427"/>
    <w:p>
      <w:pPr>
        <w:pStyle w:val="Heading2"/>
      </w:pPr>
      <w:r>
        <w:t xml:space="preserve">Can transactional revenue begin to recover?</w:t>
      </w:r>
    </w:p>
    <w:p>
      <w:pPr>
        <w:pStyle w:val="FirstParagraph"/>
      </w:pPr>
      <w:r>
        <w:t xml:space="preserve">Transactional revenue declined 6.1% in Q1, primarily because of:</w:t>
      </w:r>
    </w:p>
    <w:p>
      <w:pPr>
        <w:pStyle w:val="Compact"/>
        <w:numPr>
          <w:ilvl w:val="0"/>
          <w:numId w:val="1005"/>
        </w:numPr>
      </w:pPr>
      <w:r>
        <w:t xml:space="preserve">Low weather-related claims activity;</w:t>
      </w:r>
    </w:p>
    <w:p>
      <w:pPr>
        <w:pStyle w:val="Compact"/>
        <w:numPr>
          <w:ilvl w:val="0"/>
          <w:numId w:val="1005"/>
        </w:numPr>
      </w:pPr>
      <w:r>
        <w:t xml:space="preserve">A difficult comparison against Hurricanes Helene and Milton;</w:t>
      </w:r>
    </w:p>
    <w:p>
      <w:pPr>
        <w:pStyle w:val="Compact"/>
        <w:numPr>
          <w:ilvl w:val="0"/>
          <w:numId w:val="1005"/>
        </w:numPr>
      </w:pPr>
      <w:r>
        <w:t xml:space="preserve">Weakness in personal auto;</w:t>
      </w:r>
    </w:p>
    <w:p>
      <w:pPr>
        <w:pStyle w:val="Compact"/>
        <w:numPr>
          <w:ilvl w:val="0"/>
          <w:numId w:val="1005"/>
        </w:numPr>
      </w:pPr>
      <w:r>
        <w:t xml:space="preserve">Lower property overage revenue; and</w:t>
      </w:r>
    </w:p>
    <w:p>
      <w:pPr>
        <w:pStyle w:val="Compact"/>
        <w:numPr>
          <w:ilvl w:val="0"/>
          <w:numId w:val="1005"/>
        </w:numPr>
      </w:pPr>
      <w:r>
        <w:t xml:space="preserve">A federal-contract work stoppage.</w:t>
      </w:r>
    </w:p>
    <w:p>
      <w:pPr>
        <w:pStyle w:val="FirstParagraph"/>
      </w:pPr>
      <w:r>
        <w:t xml:space="preserve">Weather-linked revenue can be noisy, so investors should avoid overreacting to one quarter. Still, management’s full-year forecast requires transactional revenue to improve as the year progresses.</w:t>
      </w:r>
    </w:p>
    <w:p>
      <w:pPr>
        <w:pStyle w:val="BodyText"/>
      </w:pPr>
      <w:r>
        <w:t xml:space="preserve">Key questions include:</w:t>
      </w:r>
    </w:p>
    <w:p>
      <w:pPr>
        <w:pStyle w:val="Compact"/>
        <w:numPr>
          <w:ilvl w:val="0"/>
          <w:numId w:val="1006"/>
        </w:numPr>
      </w:pPr>
      <w:r>
        <w:t xml:space="preserve">Did property and restoration volumes improve sequentially?</w:t>
      </w:r>
    </w:p>
    <w:p>
      <w:pPr>
        <w:pStyle w:val="Compact"/>
        <w:numPr>
          <w:ilvl w:val="0"/>
          <w:numId w:val="1006"/>
        </w:numPr>
      </w:pPr>
      <w:r>
        <w:t xml:space="preserve">Has the federal government contract resumed?</w:t>
      </w:r>
    </w:p>
    <w:p>
      <w:pPr>
        <w:pStyle w:val="Compact"/>
        <w:numPr>
          <w:ilvl w:val="0"/>
          <w:numId w:val="1006"/>
        </w:numPr>
      </w:pPr>
      <w:r>
        <w:t xml:space="preserve">Are personal-auto conditions stabilizing?</w:t>
      </w:r>
    </w:p>
    <w:p>
      <w:pPr>
        <w:pStyle w:val="Compact"/>
        <w:numPr>
          <w:ilvl w:val="0"/>
          <w:numId w:val="1006"/>
        </w:numPr>
      </w:pPr>
      <w:r>
        <w:t xml:space="preserve">Has property overage revenue normalized?</w:t>
      </w:r>
    </w:p>
    <w:p>
      <w:pPr>
        <w:pStyle w:val="Compact"/>
        <w:numPr>
          <w:ilvl w:val="0"/>
          <w:numId w:val="1006"/>
        </w:numPr>
      </w:pPr>
      <w:r>
        <w:t xml:space="preserve">Does management still expect transactional revenue to contribute positively to long-term growth?</w:t>
      </w:r>
    </w:p>
    <w:p>
      <w:pPr>
        <w:pStyle w:val="FirstParagraph"/>
      </w:pPr>
      <w:r>
        <w:t xml:space="preserve">A sequential improvement, even if transactional revenue remains down year over year, would support the second-half recovery thesis.</w:t>
      </w:r>
    </w:p>
    <w:p>
      <w:r>
        <w:pict>
          <v:rect style="width:0;height:1.5pt" o:hralign="center" o:hrstd="t" o:hr="t"/>
        </w:pict>
      </w:r>
    </w:p>
    <w:bookmarkEnd w:id="16"/>
    <w:bookmarkStart w:id="19" w:name="Xf9bd55a28ba984fc34367a33596917928ec624b"/>
    <w:p>
      <w:pPr>
        <w:pStyle w:val="Heading2"/>
      </w:pPr>
      <w:r>
        <w:t xml:space="preserve">Margin comparisons are unusually difficult</w:t>
      </w:r>
    </w:p>
    <w:p>
      <w:pPr>
        <w:pStyle w:val="FirstParagraph"/>
      </w:pPr>
      <w:r>
        <w:t xml:space="preserve">Investors should be careful comparing Q2 margin directly with last year. Management previously noted that Q2 2025 benefited from approximately</w:t>
      </w:r>
      <w:r>
        <w:t xml:space="preserve"> </w:t>
      </w:r>
      <w:r>
        <w:rPr>
          <w:b/>
          <w:bCs/>
        </w:rPr>
        <w:t xml:space="preserve">120 basis points of favorable foreign-exchange translation</w:t>
      </w:r>
      <w:r>
        <w:t xml:space="preserve">, which is not expected to recur.</w:t>
      </w:r>
    </w:p>
    <w:p>
      <w:pPr>
        <w:pStyle w:val="BodyText"/>
      </w:pPr>
      <w:r>
        <w:t xml:space="preserve">Additional moving pieces include:</w:t>
      </w:r>
    </w:p>
    <w:bookmarkStart w:id="17" w:name="supports"/>
    <w:p>
      <w:pPr>
        <w:pStyle w:val="Heading3"/>
      </w:pPr>
      <w:r>
        <w:t xml:space="preserve">Supports</w:t>
      </w:r>
    </w:p>
    <w:p>
      <w:pPr>
        <w:pStyle w:val="Compact"/>
        <w:numPr>
          <w:ilvl w:val="0"/>
          <w:numId w:val="1007"/>
        </w:numPr>
      </w:pPr>
      <w:r>
        <w:t xml:space="preserve">Operating leverage from subscription revenue;</w:t>
      </w:r>
    </w:p>
    <w:p>
      <w:pPr>
        <w:pStyle w:val="Compact"/>
        <w:numPr>
          <w:ilvl w:val="0"/>
          <w:numId w:val="1007"/>
        </w:numPr>
      </w:pPr>
      <w:r>
        <w:t xml:space="preserve">Cost discipline;</w:t>
      </w:r>
    </w:p>
    <w:p>
      <w:pPr>
        <w:pStyle w:val="Compact"/>
        <w:numPr>
          <w:ilvl w:val="0"/>
          <w:numId w:val="1007"/>
        </w:numPr>
      </w:pPr>
      <w:r>
        <w:t xml:space="preserve">Global talent optimization;</w:t>
      </w:r>
    </w:p>
    <w:p>
      <w:pPr>
        <w:pStyle w:val="Compact"/>
        <w:numPr>
          <w:ilvl w:val="0"/>
          <w:numId w:val="1007"/>
        </w:numPr>
      </w:pPr>
      <w:r>
        <w:t xml:space="preserve">AI-assisted productivity in software development and data ingestion;</w:t>
      </w:r>
    </w:p>
    <w:p>
      <w:pPr>
        <w:pStyle w:val="Compact"/>
        <w:numPr>
          <w:ilvl w:val="0"/>
          <w:numId w:val="1007"/>
        </w:numPr>
      </w:pPr>
      <w:r>
        <w:t xml:space="preserve">Lower average share count from repurchases.</w:t>
      </w:r>
    </w:p>
    <w:bookmarkEnd w:id="17"/>
    <w:bookmarkStart w:id="18" w:name="headwinds"/>
    <w:p>
      <w:pPr>
        <w:pStyle w:val="Heading3"/>
      </w:pPr>
      <w:r>
        <w:t xml:space="preserve">Headwinds</w:t>
      </w:r>
    </w:p>
    <w:p>
      <w:pPr>
        <w:pStyle w:val="Compact"/>
        <w:numPr>
          <w:ilvl w:val="0"/>
          <w:numId w:val="1008"/>
        </w:numPr>
      </w:pPr>
      <w:r>
        <w:t xml:space="preserve">Continued AI and product investment;</w:t>
      </w:r>
    </w:p>
    <w:p>
      <w:pPr>
        <w:pStyle w:val="Compact"/>
        <w:numPr>
          <w:ilvl w:val="0"/>
          <w:numId w:val="1008"/>
        </w:numPr>
      </w:pPr>
      <w:r>
        <w:t xml:space="preserve">Normal seasonal expense ramp;</w:t>
      </w:r>
    </w:p>
    <w:p>
      <w:pPr>
        <w:pStyle w:val="Compact"/>
        <w:numPr>
          <w:ilvl w:val="0"/>
          <w:numId w:val="1008"/>
        </w:numPr>
      </w:pPr>
      <w:r>
        <w:t xml:space="preserve">The missing FX benefit;</w:t>
      </w:r>
    </w:p>
    <w:p>
      <w:pPr>
        <w:pStyle w:val="Compact"/>
        <w:numPr>
          <w:ilvl w:val="0"/>
          <w:numId w:val="1008"/>
        </w:numPr>
      </w:pPr>
      <w:r>
        <w:t xml:space="preserve">Higher interest expense following new debt issuance;</w:t>
      </w:r>
    </w:p>
    <w:p>
      <w:pPr>
        <w:pStyle w:val="Compact"/>
        <w:numPr>
          <w:ilvl w:val="0"/>
          <w:numId w:val="1008"/>
        </w:numPr>
      </w:pPr>
      <w:r>
        <w:t xml:space="preserve">Potential investment around Synergy Studio and other platform launches.</w:t>
      </w:r>
    </w:p>
    <w:p>
      <w:pPr>
        <w:pStyle w:val="FirstParagraph"/>
      </w:pPr>
      <w:r>
        <w:t xml:space="preserve">The company’s full-year target remains an adjusted EBITDA margin of</w:t>
      </w:r>
      <w:r>
        <w:t xml:space="preserve"> </w:t>
      </w:r>
      <w:r>
        <w:rPr>
          <w:b/>
          <w:bCs/>
        </w:rPr>
        <w:t xml:space="preserve">56.0%–56.5%</w:t>
      </w:r>
      <w:r>
        <w:t xml:space="preserve">, versus 55.9% in Q1. Investors should judge Q2 against that annual framework rather than demand year-over-year margin expansion despite the FX comparison.</w:t>
      </w:r>
    </w:p>
    <w:p>
      <w:r>
        <w:pict>
          <v:rect style="width:0;height:1.5pt" o:hralign="center" o:hrstd="t" o:hr="t"/>
        </w:pict>
      </w:r>
    </w:p>
    <w:bookmarkEnd w:id="18"/>
    <w:bookmarkEnd w:id="19"/>
    <w:bookmarkStart w:id="21" w:name="X131fa20a8869b171a601e269403cbe759af96f1"/>
    <w:p>
      <w:pPr>
        <w:pStyle w:val="Heading2"/>
      </w:pPr>
      <w:r>
        <w:t xml:space="preserve">Full-year guidance is the likely stock-moving item</w:t>
      </w:r>
    </w:p>
    <w:p>
      <w:pPr>
        <w:pStyle w:val="FirstParagraph"/>
      </w:pPr>
      <w:r>
        <w:t xml:space="preserve">Verisk entered the report with the following 2026 outlook: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2026 guidance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3.19</m:t>
              </m:r>
              <m:r>
                <m:t>b</m:t>
              </m:r>
              <m:r>
                <m:t>i</m:t>
              </m:r>
              <m:r>
                <m:t>l</m:t>
              </m:r>
              <m:r>
                <m:t>l</m:t>
              </m:r>
              <m:r>
                <m:t>i</m:t>
              </m:r>
              <m:r>
                <m:t>o</m:t>
              </m:r>
              <m:r>
                <m:t>n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3.24 billion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1.79</m:t>
              </m:r>
              <m:r>
                <m:t>b</m:t>
              </m:r>
              <m:r>
                <m:t>i</m:t>
              </m:r>
              <m:r>
                <m:t>l</m:t>
              </m:r>
              <m:r>
                <m:t>l</m:t>
              </m:r>
              <m:r>
                <m:t>i</m:t>
              </m:r>
              <m:r>
                <m:t>o</m:t>
              </m:r>
              <m:r>
                <m:t>n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1.83 billion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EBITDA margin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56.0%–56.5%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7.45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7.75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interest expense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190</m:t>
              </m:r>
              <m:r>
                <m:t>m</m:t>
              </m:r>
              <m:r>
                <m:t>i</m:t>
              </m:r>
              <m:r>
                <m:t>l</m:t>
              </m:r>
              <m:r>
                <m:t>l</m:t>
              </m:r>
              <m:r>
                <m:t>i</m:t>
              </m:r>
              <m:r>
                <m:t>o</m:t>
              </m:r>
              <m:r>
                <m:t>n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200 million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Effective tax rate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23%–26%</w:t>
            </w:r>
          </w:p>
        </w:tc>
      </w:tr>
    </w:tbl>
    <w:p>
      <w:pPr>
        <w:pStyle w:val="BodyText"/>
      </w:pPr>
      <w:r>
        <w:t xml:space="preserve">The midpoint of adjusted EPS guidance, $7.60, is close to the current consensus of roughly $7.65. (</w:t>
      </w:r>
      <w:hyperlink r:id="rId20">
        <w:r>
          <w:rPr>
            <w:rStyle w:val="Hyperlink"/>
          </w:rPr>
          <w:t xml:space="preserve">barchart.com</w:t>
        </w:r>
      </w:hyperlink>
      <w:r>
        <w:t xml:space="preserve">)</w:t>
      </w:r>
    </w:p>
    <w:p>
      <w:pPr>
        <w:pStyle w:val="BodyText"/>
      </w:pPr>
      <w:r>
        <w:t xml:space="preserve">A guidance raise is possible if Q2 exceeds expectations, but it should not be considered necessary for a positive reaction. Given the anticipated Q2 headwinds,</w:t>
      </w:r>
      <w:r>
        <w:t xml:space="preserve"> </w:t>
      </w:r>
      <w:r>
        <w:rPr>
          <w:b/>
          <w:bCs/>
        </w:rPr>
        <w:t xml:space="preserve">reaffirmation accompanied by improving forward indicators</w:t>
      </w:r>
      <w:r>
        <w:t xml:space="preserve"> </w:t>
      </w:r>
      <w:r>
        <w:t xml:space="preserve">could be enough.</w:t>
      </w:r>
    </w:p>
    <w:p>
      <w:pPr>
        <w:pStyle w:val="BodyText"/>
      </w:pPr>
      <w:r>
        <w:t xml:space="preserve">What would be less reassuring is a reaffirmation that depends on an increasingly back-end-loaded fourth quarter without concrete support from bookings, renewals or transactional trends.</w:t>
      </w:r>
    </w:p>
    <w:p>
      <w:r>
        <w:pict>
          <v:rect style="width:0;height:1.5pt" o:hralign="center" o:hrstd="t" o:hr="t"/>
        </w:pict>
      </w:r>
    </w:p>
    <w:bookmarkEnd w:id="21"/>
    <w:bookmarkStart w:id="25" w:name="product-and-ai-milestones-to-monitor"/>
    <w:p>
      <w:pPr>
        <w:pStyle w:val="Heading2"/>
      </w:pPr>
      <w:r>
        <w:t xml:space="preserve">Product and AI milestones to monitor</w:t>
      </w:r>
    </w:p>
    <w:bookmarkStart w:id="22" w:name="X21a8f684c5a06170d3fe9cc630e80c10370cd66"/>
    <w:p>
      <w:pPr>
        <w:pStyle w:val="Heading3"/>
      </w:pPr>
      <w:r>
        <w:t xml:space="preserve">1. Verisk Synergy Studio</w:t>
      </w:r>
    </w:p>
    <w:p>
      <w:pPr>
        <w:pStyle w:val="FirstParagraph"/>
      </w:pPr>
      <w:r>
        <w:t xml:space="preserve">The next-generation catastrophe-risk platform was scheduled for production release in June. Management should provide:</w:t>
      </w:r>
    </w:p>
    <w:p>
      <w:pPr>
        <w:pStyle w:val="Compact"/>
        <w:numPr>
          <w:ilvl w:val="0"/>
          <w:numId w:val="1009"/>
        </w:numPr>
      </w:pPr>
      <w:r>
        <w:t xml:space="preserve">Confirmation of the launch;</w:t>
      </w:r>
    </w:p>
    <w:p>
      <w:pPr>
        <w:pStyle w:val="Compact"/>
        <w:numPr>
          <w:ilvl w:val="0"/>
          <w:numId w:val="1009"/>
        </w:numPr>
      </w:pPr>
      <w:r>
        <w:t xml:space="preserve">Initial client migrations;</w:t>
      </w:r>
    </w:p>
    <w:p>
      <w:pPr>
        <w:pStyle w:val="Compact"/>
        <w:numPr>
          <w:ilvl w:val="0"/>
          <w:numId w:val="1009"/>
        </w:numPr>
      </w:pPr>
      <w:r>
        <w:t xml:space="preserve">Contract expansions or new logos;</w:t>
      </w:r>
    </w:p>
    <w:p>
      <w:pPr>
        <w:pStyle w:val="Compact"/>
        <w:numPr>
          <w:ilvl w:val="0"/>
          <w:numId w:val="1009"/>
        </w:numPr>
      </w:pPr>
      <w:r>
        <w:t xml:space="preserve">Hosting-related revenue;</w:t>
      </w:r>
    </w:p>
    <w:p>
      <w:pPr>
        <w:pStyle w:val="Compact"/>
        <w:numPr>
          <w:ilvl w:val="0"/>
          <w:numId w:val="1009"/>
        </w:numPr>
      </w:pPr>
      <w:r>
        <w:t xml:space="preserve">The economics and timing of broader adoption; and</w:t>
      </w:r>
    </w:p>
    <w:p>
      <w:pPr>
        <w:pStyle w:val="Compact"/>
        <w:numPr>
          <w:ilvl w:val="0"/>
          <w:numId w:val="1009"/>
        </w:numPr>
      </w:pPr>
      <w:r>
        <w:t xml:space="preserve">Any implementation friction.</w:t>
      </w:r>
    </w:p>
    <w:p>
      <w:pPr>
        <w:pStyle w:val="FirstParagraph"/>
      </w:pPr>
      <w:r>
        <w:t xml:space="preserve">This is important because Synergy Studio is intended not merely as a technology upgrade but as a platform for new data products, third-party models and expansion beyond traditional insurance clients.</w:t>
      </w:r>
    </w:p>
    <w:bookmarkEnd w:id="22"/>
    <w:bookmarkStart w:id="23" w:name="X604c70e4f423c45df334f9ff3797f95eaefcd30"/>
    <w:p>
      <w:pPr>
        <w:pStyle w:val="Heading3"/>
      </w:pPr>
      <w:r>
        <w:t xml:space="preserve">2. Core Lines Reimagine</w:t>
      </w:r>
    </w:p>
    <w:p>
      <w:pPr>
        <w:pStyle w:val="FirstParagraph"/>
      </w:pPr>
      <w:r>
        <w:t xml:space="preserve">Core Lines Reimagine has accelerated growth in Verisk’s large Forms, Rules and Loss Costs franchise. Management planned 25 client-facing releases during 2026 after releasing seven in Q1.</w:t>
      </w:r>
    </w:p>
    <w:p>
      <w:pPr>
        <w:pStyle w:val="BodyText"/>
      </w:pPr>
      <w:r>
        <w:t xml:space="preserve">Watch for adoption, user engagement, incremental pricing and the extent to which new modules generate separate revenue rather than merely supporting renewal increases.</w:t>
      </w:r>
    </w:p>
    <w:bookmarkEnd w:id="23"/>
    <w:bookmarkStart w:id="24" w:name="Xc0a8a9dbf4f2b302bbc63fa4608995c9aecb567"/>
    <w:p>
      <w:pPr>
        <w:pStyle w:val="Heading3"/>
      </w:pPr>
      <w:r>
        <w:t xml:space="preserve">3. AI commercialization</w:t>
      </w:r>
    </w:p>
    <w:p>
      <w:pPr>
        <w:pStyle w:val="FirstParagraph"/>
      </w:pPr>
      <w:r>
        <w:t xml:space="preserve">The long-term AI argument for Verisk is compelling: insurers require proprietary, standardized, auditable and regulatory-grade data, all of which the company already supplies. But near-term revenue contribution remains difficult to quantify.</w:t>
      </w:r>
    </w:p>
    <w:p>
      <w:pPr>
        <w:pStyle w:val="BodyText"/>
      </w:pPr>
      <w:r>
        <w:t xml:space="preserve">The most useful disclosures would include:</w:t>
      </w:r>
    </w:p>
    <w:p>
      <w:pPr>
        <w:pStyle w:val="Compact"/>
        <w:numPr>
          <w:ilvl w:val="0"/>
          <w:numId w:val="1010"/>
        </w:numPr>
      </w:pPr>
      <w:r>
        <w:t xml:space="preserve">Paid versus trial deployments;</w:t>
      </w:r>
    </w:p>
    <w:p>
      <w:pPr>
        <w:pStyle w:val="Compact"/>
        <w:numPr>
          <w:ilvl w:val="0"/>
          <w:numId w:val="1010"/>
        </w:numPr>
      </w:pPr>
      <w:r>
        <w:t xml:space="preserve">Proofs of concept converting into contracts;</w:t>
      </w:r>
    </w:p>
    <w:p>
      <w:pPr>
        <w:pStyle w:val="Compact"/>
        <w:numPr>
          <w:ilvl w:val="0"/>
          <w:numId w:val="1010"/>
        </w:numPr>
      </w:pPr>
      <w:r>
        <w:t xml:space="preserve">Adoption of Digital Media Forensics and augmented underwriting;</w:t>
      </w:r>
    </w:p>
    <w:p>
      <w:pPr>
        <w:pStyle w:val="Compact"/>
        <w:numPr>
          <w:ilvl w:val="0"/>
          <w:numId w:val="1010"/>
        </w:numPr>
      </w:pPr>
      <w:r>
        <w:t xml:space="preserve">Expansion of XactAI, XactXpert and related claims tools;</w:t>
      </w:r>
    </w:p>
    <w:p>
      <w:pPr>
        <w:pStyle w:val="Compact"/>
        <w:numPr>
          <w:ilvl w:val="0"/>
          <w:numId w:val="1010"/>
        </w:numPr>
      </w:pPr>
      <w:r>
        <w:t xml:space="preserve">Pricing structures for AI-enabled data access; and</w:t>
      </w:r>
    </w:p>
    <w:p>
      <w:pPr>
        <w:pStyle w:val="Compact"/>
        <w:numPr>
          <w:ilvl w:val="0"/>
          <w:numId w:val="1010"/>
        </w:numPr>
      </w:pPr>
      <w:r>
        <w:t xml:space="preserve">Revenue associated with co-development partnerships.</w:t>
      </w:r>
    </w:p>
    <w:p>
      <w:pPr>
        <w:pStyle w:val="FirstParagraph"/>
      </w:pPr>
      <w:r>
        <w:t xml:space="preserve">Management previously described AI as roughly neutral to current margins because productivity benefits are being reinvested. Investors should therefore look primarily for revenue-pipeline validation rather than an immediate margin windfall.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26" w:name="Xca8a4f400f9d2c0905131291e3663c1cbfcfcb2"/>
    <w:p>
      <w:pPr>
        <w:pStyle w:val="Heading2"/>
      </w:pPr>
      <w:r>
        <w:t xml:space="preserve">CIO transition: likely manageable, but expect questions</w:t>
      </w:r>
    </w:p>
    <w:p>
      <w:pPr>
        <w:pStyle w:val="FirstParagraph"/>
      </w:pPr>
      <w:r>
        <w:t xml:space="preserve">On July 28, Verisk disclosed that CIO Nick Daffan will leave his current position effective August 3 and serve as a strategic adviser through year-end. CTO Jeff Negrete will serve as interim CIO.</w:t>
      </w:r>
    </w:p>
    <w:p>
      <w:pPr>
        <w:pStyle w:val="BodyText"/>
      </w:pPr>
      <w:r>
        <w:t xml:space="preserve">Daffan had overseen Verisk’s transition from mainframe infrastructure to the cloud, making the timing notable given the company’s emphasis on AI-ready data architecture and platform modernization. The orderly advisory transition and appointment of the current CTO reduce immediate execution risk, but investors will likely seek reassurance regarding:</w:t>
      </w:r>
    </w:p>
    <w:p>
      <w:pPr>
        <w:pStyle w:val="Compact"/>
        <w:numPr>
          <w:ilvl w:val="0"/>
          <w:numId w:val="1011"/>
        </w:numPr>
      </w:pPr>
      <w:r>
        <w:t xml:space="preserve">The reason for the change;</w:t>
      </w:r>
    </w:p>
    <w:p>
      <w:pPr>
        <w:pStyle w:val="Compact"/>
        <w:numPr>
          <w:ilvl w:val="0"/>
          <w:numId w:val="1011"/>
        </w:numPr>
      </w:pPr>
      <w:r>
        <w:t xml:space="preserve">Whether it was planned;</w:t>
      </w:r>
    </w:p>
    <w:p>
      <w:pPr>
        <w:pStyle w:val="Compact"/>
        <w:numPr>
          <w:ilvl w:val="0"/>
          <w:numId w:val="1011"/>
        </w:numPr>
      </w:pPr>
      <w:r>
        <w:t xml:space="preserve">The permanent CIO search;</w:t>
      </w:r>
    </w:p>
    <w:p>
      <w:pPr>
        <w:pStyle w:val="Compact"/>
        <w:numPr>
          <w:ilvl w:val="0"/>
          <w:numId w:val="1011"/>
        </w:numPr>
      </w:pPr>
      <w:r>
        <w:t xml:space="preserve">Continuity of Synergy Studio and AI initiatives; and</w:t>
      </w:r>
    </w:p>
    <w:p>
      <w:pPr>
        <w:pStyle w:val="Compact"/>
        <w:numPr>
          <w:ilvl w:val="0"/>
          <w:numId w:val="1011"/>
        </w:numPr>
      </w:pPr>
      <w:r>
        <w:t xml:space="preserve">Any effect on development timelines.</w:t>
      </w:r>
    </w:p>
    <w:p>
      <w:pPr>
        <w:pStyle w:val="FirstParagraph"/>
      </w:pPr>
      <w:r>
        <w:t xml:space="preserve">Unless management indicates otherwise, this appears more like a leadership-transition issue than a change in technology strategy.</w:t>
      </w:r>
    </w:p>
    <w:p>
      <w:r>
        <w:pict>
          <v:rect style="width:0;height:1.5pt" o:hralign="center" o:hrstd="t" o:hr="t"/>
        </w:pict>
      </w:r>
    </w:p>
    <w:bookmarkEnd w:id="26"/>
    <w:bookmarkStart w:id="27" w:name="capital-allocation-and-earnings-quality"/>
    <w:p>
      <w:pPr>
        <w:pStyle w:val="Heading2"/>
      </w:pPr>
      <w:r>
        <w:t xml:space="preserve">Capital allocation and earnings quality</w:t>
      </w:r>
    </w:p>
    <w:p>
      <w:pPr>
        <w:pStyle w:val="FirstParagraph"/>
      </w:pPr>
      <w:r>
        <w:t xml:space="preserve">Verisk initiated a $1.5 billion accelerated share-repurchase program in Q1 and also repurchased $126 million through open-market activity, retiring 7.6 million shares during the quarter. This should continue to support per-share growth even if operating growth remains temporarily subdued.</w:t>
      </w:r>
    </w:p>
    <w:p>
      <w:pPr>
        <w:pStyle w:val="BodyText"/>
      </w:pPr>
      <w:r>
        <w:t xml:space="preserve">The trade-off is higher interest expense. Verisk issued $1 billion of senior notes and entered into a $500 million term loan to help fund the repurchase, taking leverage to 2.4 times debt to adjusted EBITDA—within its targeted 2–3 times range.</w:t>
      </w:r>
    </w:p>
    <w:p>
      <w:pPr>
        <w:pStyle w:val="BodyText"/>
      </w:pPr>
      <w:r>
        <w:t xml:space="preserve">Investors should distinguish between:</w:t>
      </w:r>
    </w:p>
    <w:p>
      <w:pPr>
        <w:pStyle w:val="Compact"/>
        <w:numPr>
          <w:ilvl w:val="0"/>
          <w:numId w:val="1012"/>
        </w:numPr>
      </w:pPr>
      <w:r>
        <w:t xml:space="preserve">EPS growth driven by operations and margin expansion; and</w:t>
      </w:r>
    </w:p>
    <w:p>
      <w:pPr>
        <w:pStyle w:val="Compact"/>
        <w:numPr>
          <w:ilvl w:val="0"/>
          <w:numId w:val="1012"/>
        </w:numPr>
      </w:pPr>
      <w:r>
        <w:t xml:space="preserve">EPS growth driven by a lower share count, partly offset by higher interest expense.</w:t>
      </w:r>
    </w:p>
    <w:p>
      <w:pPr>
        <w:pStyle w:val="FirstParagraph"/>
      </w:pPr>
      <w:r>
        <w:t xml:space="preserve">The highest-quality result would feature EBITDA growth comfortably above revenue growth, with repurchases providing an additional—not primary—source of EPS growth.</w:t>
      </w:r>
    </w:p>
    <w:p>
      <w:r>
        <w:pict>
          <v:rect style="width:0;height:1.5pt" o:hralign="center" o:hrstd="t" o:hr="t"/>
        </w:pict>
      </w:r>
    </w:p>
    <w:bookmarkEnd w:id="27"/>
    <w:bookmarkStart w:id="28" w:name="valuation-and-the-bar-for-the-stock"/>
    <w:p>
      <w:pPr>
        <w:pStyle w:val="Heading2"/>
      </w:pPr>
      <w:r>
        <w:t xml:space="preserve">Valuation and the bar for the stock</w:t>
      </w:r>
    </w:p>
    <w:p>
      <w:pPr>
        <w:pStyle w:val="FirstParagraph"/>
      </w:pPr>
      <w:r>
        <w:t xml:space="preserve">At approximately $212 per share, VRSK trades around: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27.8 times</w:t>
      </w:r>
      <w:r>
        <w:t xml:space="preserve"> </w:t>
      </w:r>
      <w:r>
        <w:t xml:space="preserve">the 2026 consensus EPS estimate of $7.65; and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24.4 times</w:t>
      </w:r>
      <w:r>
        <w:t xml:space="preserve"> </w:t>
      </w:r>
      <w:r>
        <w:t xml:space="preserve">the 2027 consensus estimate of $8.71.</w:t>
      </w:r>
    </w:p>
    <w:p>
      <w:pPr>
        <w:pStyle w:val="FirstParagraph"/>
      </w:pPr>
      <w:r>
        <w:t xml:space="preserve">Consensus estimates and the July 28 closing price are available from current earnings and market-data sources. (</w:t>
      </w:r>
      <w:hyperlink r:id="rId11">
        <w:r>
          <w:rPr>
            <w:rStyle w:val="Hyperlink"/>
          </w:rPr>
          <w:t xml:space="preserve">marketbeat.com</w:t>
        </w:r>
      </w:hyperlink>
      <w:r>
        <w:t xml:space="preserve">)</w:t>
      </w:r>
    </w:p>
    <w:p>
      <w:pPr>
        <w:pStyle w:val="BodyText"/>
      </w:pPr>
      <w:r>
        <w:t xml:space="preserve">That valuation still assumes durable organic growth, margin expansion and double-digit long-term EPS growth. It leaves room for a temporary soft quarter, but not for a structural reduction in the company’s growth profile.</w:t>
      </w:r>
    </w:p>
    <w:p>
      <w:pPr>
        <w:pStyle w:val="BodyText"/>
      </w:pPr>
      <w:r>
        <w:t xml:space="preserve">The recent rebound from the May lows also means the stock may require more than a routine penny or two of EPS upside. Commentary on the second-half trajectory is likely to matter more than the headline beat.</w:t>
      </w:r>
    </w:p>
    <w:p>
      <w:r>
        <w:pict>
          <v:rect style="width:0;height:1.5pt" o:hralign="center" o:hrstd="t" o:hr="t"/>
        </w:pict>
      </w:r>
    </w:p>
    <w:bookmarkEnd w:id="28"/>
    <w:bookmarkStart w:id="32" w:name="bull-base-and-bear-frameworks"/>
    <w:p>
      <w:pPr>
        <w:pStyle w:val="Heading2"/>
      </w:pPr>
      <w:r>
        <w:t xml:space="preserve">Bull, base and bear frameworks</w:t>
      </w:r>
    </w:p>
    <w:bookmarkStart w:id="29" w:name="bull-case"/>
    <w:p>
      <w:pPr>
        <w:pStyle w:val="Heading3"/>
      </w:pPr>
      <w:r>
        <w:t xml:space="preserve">Bull case</w:t>
      </w:r>
    </w:p>
    <w:p>
      <w:pPr>
        <w:pStyle w:val="Compact"/>
        <w:numPr>
          <w:ilvl w:val="0"/>
          <w:numId w:val="1014"/>
        </w:numPr>
      </w:pPr>
      <w:r>
        <w:t xml:space="preserve">Revenue above roughly $810 million;</w:t>
      </w:r>
    </w:p>
    <w:p>
      <w:pPr>
        <w:pStyle w:val="Compact"/>
        <w:numPr>
          <w:ilvl w:val="0"/>
          <w:numId w:val="1014"/>
        </w:numPr>
      </w:pPr>
      <w:r>
        <w:t xml:space="preserve">Adjusted EPS above the $1.97 high estimate;</w:t>
      </w:r>
    </w:p>
    <w:p>
      <w:pPr>
        <w:pStyle w:val="Compact"/>
        <w:numPr>
          <w:ilvl w:val="0"/>
          <w:numId w:val="1014"/>
        </w:numPr>
      </w:pPr>
      <w:r>
        <w:t xml:space="preserve">OCC growth clearly improves from 4.7%;</w:t>
      </w:r>
    </w:p>
    <w:p>
      <w:pPr>
        <w:pStyle w:val="Compact"/>
        <w:numPr>
          <w:ilvl w:val="0"/>
          <w:numId w:val="1014"/>
        </w:numPr>
      </w:pPr>
      <w:r>
        <w:t xml:space="preserve">Subscription growth remains at least 7%;</w:t>
      </w:r>
    </w:p>
    <w:p>
      <w:pPr>
        <w:pStyle w:val="Compact"/>
        <w:numPr>
          <w:ilvl w:val="0"/>
          <w:numId w:val="1014"/>
        </w:numPr>
      </w:pPr>
      <w:r>
        <w:t xml:space="preserve">Transactional revenue shows meaningful sequential recovery;</w:t>
      </w:r>
    </w:p>
    <w:p>
      <w:pPr>
        <w:pStyle w:val="Compact"/>
        <w:numPr>
          <w:ilvl w:val="0"/>
          <w:numId w:val="1014"/>
        </w:numPr>
      </w:pPr>
      <w:r>
        <w:t xml:space="preserve">Synergy Studio launches on schedule with encouraging adoption;</w:t>
      </w:r>
    </w:p>
    <w:p>
      <w:pPr>
        <w:pStyle w:val="Compact"/>
        <w:numPr>
          <w:ilvl w:val="0"/>
          <w:numId w:val="1014"/>
        </w:numPr>
      </w:pPr>
      <w:r>
        <w:t xml:space="preserve">Full-year guidance is raised or management signals upside to the upper half.</w:t>
      </w:r>
    </w:p>
    <w:bookmarkEnd w:id="29"/>
    <w:bookmarkStart w:id="30" w:name="base-case"/>
    <w:p>
      <w:pPr>
        <w:pStyle w:val="Heading3"/>
      </w:pPr>
      <w:r>
        <w:t xml:space="preserve">Base case</w:t>
      </w:r>
    </w:p>
    <w:p>
      <w:pPr>
        <w:pStyle w:val="Compact"/>
        <w:numPr>
          <w:ilvl w:val="0"/>
          <w:numId w:val="1015"/>
        </w:numPr>
      </w:pPr>
      <w:r>
        <w:t xml:space="preserve">Revenue around</w:t>
      </w:r>
      <w:r>
        <w:t xml:space="preserve"> </w:t>
      </w:r>
      <m:oMath>
        <m:r>
          <m:t>800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–</m:t>
        </m:r>
      </m:oMath>
      <w:r>
        <w:t xml:space="preserve">808 million;</w:t>
      </w:r>
    </w:p>
    <w:p>
      <w:pPr>
        <w:pStyle w:val="Compact"/>
        <w:numPr>
          <w:ilvl w:val="0"/>
          <w:numId w:val="1015"/>
        </w:numPr>
      </w:pPr>
      <w:r>
        <w:t xml:space="preserve">Adjusted EPS around</w:t>
      </w:r>
      <w:r>
        <w:t xml:space="preserve"> </w:t>
      </w:r>
      <m:oMath>
        <m:r>
          <m:t>1.92</m:t>
        </m:r>
        <m:r>
          <m:rPr>
            <m:sty m:val="p"/>
          </m:rPr>
          <m:t>–</m:t>
        </m:r>
      </m:oMath>
      <w:r>
        <w:t xml:space="preserve">1.97;</w:t>
      </w:r>
    </w:p>
    <w:p>
      <w:pPr>
        <w:pStyle w:val="Compact"/>
        <w:numPr>
          <w:ilvl w:val="0"/>
          <w:numId w:val="1015"/>
        </w:numPr>
      </w:pPr>
      <w:r>
        <w:t xml:space="preserve">OCC growth improves modestly but remains below 6%;</w:t>
      </w:r>
    </w:p>
    <w:p>
      <w:pPr>
        <w:pStyle w:val="Compact"/>
        <w:numPr>
          <w:ilvl w:val="0"/>
          <w:numId w:val="1015"/>
        </w:numPr>
      </w:pPr>
      <w:r>
        <w:t xml:space="preserve">Subscription growth stays healthy;</w:t>
      </w:r>
    </w:p>
    <w:p>
      <w:pPr>
        <w:pStyle w:val="Compact"/>
        <w:numPr>
          <w:ilvl w:val="0"/>
          <w:numId w:val="1015"/>
        </w:numPr>
      </w:pPr>
      <w:r>
        <w:t xml:space="preserve">Transactional revenue remains negative but bottoms sequentially;</w:t>
      </w:r>
    </w:p>
    <w:p>
      <w:pPr>
        <w:pStyle w:val="Compact"/>
        <w:numPr>
          <w:ilvl w:val="0"/>
          <w:numId w:val="1015"/>
        </w:numPr>
      </w:pPr>
      <w:r>
        <w:t xml:space="preserve">Guidance is reaffirmed;</w:t>
      </w:r>
    </w:p>
    <w:p>
      <w:pPr>
        <w:pStyle w:val="Compact"/>
        <w:numPr>
          <w:ilvl w:val="0"/>
          <w:numId w:val="1015"/>
        </w:numPr>
      </w:pPr>
      <w:r>
        <w:t xml:space="preserve">Management continues to forecast a second-half return toward the long-term range.</w:t>
      </w:r>
    </w:p>
    <w:bookmarkEnd w:id="30"/>
    <w:bookmarkStart w:id="31" w:name="bear-case"/>
    <w:p>
      <w:pPr>
        <w:pStyle w:val="Heading3"/>
      </w:pPr>
      <w:r>
        <w:t xml:space="preserve">Bear case</w:t>
      </w:r>
    </w:p>
    <w:p>
      <w:pPr>
        <w:pStyle w:val="Compact"/>
        <w:numPr>
          <w:ilvl w:val="0"/>
          <w:numId w:val="1016"/>
        </w:numPr>
      </w:pPr>
      <w:r>
        <w:t xml:space="preserve">Revenue below $795 million;</w:t>
      </w:r>
    </w:p>
    <w:p>
      <w:pPr>
        <w:pStyle w:val="Compact"/>
        <w:numPr>
          <w:ilvl w:val="0"/>
          <w:numId w:val="1016"/>
        </w:numPr>
      </w:pPr>
      <w:r>
        <w:t xml:space="preserve">Adjusted EPS below $1.90;</w:t>
      </w:r>
    </w:p>
    <w:p>
      <w:pPr>
        <w:pStyle w:val="Compact"/>
        <w:numPr>
          <w:ilvl w:val="0"/>
          <w:numId w:val="1016"/>
        </w:numPr>
      </w:pPr>
      <w:r>
        <w:t xml:space="preserve">OCC growth fails to improve from Q1;</w:t>
      </w:r>
    </w:p>
    <w:p>
      <w:pPr>
        <w:pStyle w:val="Compact"/>
        <w:numPr>
          <w:ilvl w:val="0"/>
          <w:numId w:val="1016"/>
        </w:numPr>
      </w:pPr>
      <w:r>
        <w:t xml:space="preserve">Subscription growth decelerates materially;</w:t>
      </w:r>
    </w:p>
    <w:p>
      <w:pPr>
        <w:pStyle w:val="Compact"/>
        <w:numPr>
          <w:ilvl w:val="0"/>
          <w:numId w:val="1016"/>
        </w:numPr>
      </w:pPr>
      <w:r>
        <w:t xml:space="preserve">Transactional weakness broadens beyond weather-sensitive products;</w:t>
      </w:r>
    </w:p>
    <w:p>
      <w:pPr>
        <w:pStyle w:val="Compact"/>
        <w:numPr>
          <w:ilvl w:val="0"/>
          <w:numId w:val="1016"/>
        </w:numPr>
      </w:pPr>
      <w:r>
        <w:t xml:space="preserve">Synergy Studio or AI contracting timelines slip;</w:t>
      </w:r>
    </w:p>
    <w:p>
      <w:pPr>
        <w:pStyle w:val="Compact"/>
        <w:numPr>
          <w:ilvl w:val="0"/>
          <w:numId w:val="1016"/>
        </w:numPr>
      </w:pPr>
      <w:r>
        <w:t xml:space="preserve">Guidance is reduced, or reaffirmation requires an aggressive Q4 ramp.</w:t>
      </w:r>
    </w:p>
    <w:p>
      <w:r>
        <w:pict>
          <v:rect style="width:0;height:1.5pt" o:hralign="center" o:hrstd="t" o:hr="t"/>
        </w:pict>
      </w:r>
    </w:p>
    <w:bookmarkEnd w:id="31"/>
    <w:bookmarkEnd w:id="32"/>
    <w:bookmarkStart w:id="33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The core Verisk thesis remains intact: highly recurring revenue, proprietary insurance data, strong pricing power, embedded regulatory workflows and substantial free-cash-flow generation. The immediate debate is whether the first-half slowdown is temporary or the beginning of a lower growth regime.</w:t>
      </w:r>
    </w:p>
    <w:p>
      <w:pPr>
        <w:pStyle w:val="BodyText"/>
      </w:pPr>
      <w:r>
        <w:t xml:space="preserve">The most important signals in this report will be: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OCC revenue growth versus Q1’s 4.7%;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Subscription growth versus Q1’s 7%;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Sequential stabilization in transactional claims revenue;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The credibility of the second-half acceleration;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Progress on Synergy Studio and paid AI adoption; and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Reaffirmation of full-year revenue, margin and EPS guidance.</w:t>
      </w:r>
    </w:p>
    <w:p>
      <w:pPr>
        <w:pStyle w:val="FirstParagraph"/>
      </w:pPr>
      <w:r>
        <w:t xml:space="preserve">A modest headline beat with vague second-half commentary would probably be less valuable than an in-line quarter accompanied by tangible evidence that growth is already beginning to reaccelerate.</w:t>
      </w:r>
    </w:p>
    <w:bookmarkEnd w:id="33"/>
    <w:bookmarkEnd w:id="3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0" Target="https://www.barchart.com/stocks/quotes/VRSK/earnings-estimates" TargetMode="External" /><Relationship Type="http://schemas.openxmlformats.org/officeDocument/2006/relationships/hyperlink" Id="rId9" Target="https://www.globenewswire.com/news-release/2026/07/08/3324090/0/en/verisk-to-announce-fiscal-second-quarter-2026-results-on-july-29-2026.html" TargetMode="External" /><Relationship Type="http://schemas.openxmlformats.org/officeDocument/2006/relationships/hyperlink" Id="rId11" Target="https://www.marketbeat.com/earnings/reports/2026-7-29-verisk-analytics-inc-stock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barchart.com/stocks/quotes/VRSK/earnings-estimates" TargetMode="External" /><Relationship Type="http://schemas.openxmlformats.org/officeDocument/2006/relationships/hyperlink" Id="rId9" Target="https://www.globenewswire.com/news-release/2026/07/08/3324090/0/en/verisk-to-announce-fiscal-second-quarter-2026-results-on-july-29-2026.html" TargetMode="External" /><Relationship Type="http://schemas.openxmlformats.org/officeDocument/2006/relationships/hyperlink" Id="rId11" Target="https://www.marketbeat.com/earnings/reports/2026-7-29-verisk-analytics-inc-stock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2026-07-29T00:19:26Z</dcterms:created>
  <dcterms:modified xsi:type="dcterms:W3CDTF">2026-07-29T00:19:26Z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