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6c2591556dd3e7206da2653df1c8c8eec067ed"/>
    <w:p>
      <w:pPr>
        <w:pStyle w:val="Heading1"/>
      </w:pPr>
      <w:r>
        <w:t xml:space="preserve">Verisk (NASDAQ: VRSK) — 2Q26 Earnings Preview</w:t>
      </w:r>
    </w:p>
    <w:p>
      <w:pPr>
        <w:pStyle w:val="BlockText"/>
      </w:pPr>
      <w:r>
        <w:rPr>
          <w:b/>
          <w:bCs/>
        </w:rPr>
        <w:t xml:space="preserve">Date clarification:</w:t>
      </w:r>
      <w:r>
        <w:t xml:space="preserve"> </w:t>
      </w:r>
      <w:r>
        <w:t xml:space="preserve">Today is</w:t>
      </w:r>
      <w:r>
        <w:t xml:space="preserve"> </w:t>
      </w:r>
      <w:r>
        <w:rPr>
          <w:b/>
          <w:bCs/>
        </w:rPr>
        <w:t xml:space="preserve">Wednesday, July 29, 2026</w:t>
      </w:r>
      <w:r>
        <w:t xml:space="preserve">. The event date provided—</w:t>
      </w:r>
      <w:r>
        <w:rPr>
          <w:b/>
          <w:bCs/>
        </w:rPr>
        <w:t xml:space="preserve">July 29, 2026</w:t>
      </w:r>
      <w:r>
        <w:t xml:space="preserve">—is therefore</w:t>
      </w:r>
      <w:r>
        <w:t xml:space="preserve"> </w:t>
      </w:r>
      <w:r>
        <w:rPr>
          <w:b/>
          <w:bCs/>
        </w:rPr>
        <w:t xml:space="preserve">today, not tomorrow</w:t>
      </w:r>
      <w:r>
        <w:t xml:space="preserve">. This preview assumes results have not yet been released.</w:t>
      </w:r>
    </w:p>
    <w:bookmarkStart w:id="9" w:name="X43353bb55d6fdeb28de01301c9c61261e1a10e8"/>
    <w:p>
      <w:pPr>
        <w:pStyle w:val="Heading2"/>
      </w:pPr>
      <w:r>
        <w:t xml:space="preserve">Investment view: the quarter is about proving the expected reacceleration</w:t>
      </w:r>
    </w:p>
    <w:p>
      <w:pPr>
        <w:pStyle w:val="FirstParagraph"/>
      </w:pPr>
      <w:r>
        <w:t xml:space="preserve">Verisk enters 2Q26 with a high-quality, subscription-led insurance-data model, but with a more demanding near-term setup than its long-term profile might imply. Management characterized 1Q as the annual trough, pressured by low weather-related activity, difficult subscription-renewal comparisons, and a federal-contract work stoppage. The central question for 2Q is whether revenue growth begins to improve as promised—while preserving margins despite a difficult comparison.</w:t>
      </w:r>
    </w:p>
    <w:p>
      <w:pPr>
        <w:pStyle w:val="BodyText"/>
      </w:pPr>
      <w:r>
        <w:t xml:space="preserve">The stock has already recovered materially into the event: VRSK closed at</w:t>
      </w:r>
      <w:r>
        <w:t xml:space="preserve"> </w:t>
      </w:r>
      <w:r>
        <w:rPr>
          <w:b/>
          <w:bCs/>
        </w:rPr>
        <w:t xml:space="preserve">$212.30 on July 28</w:t>
      </w:r>
      <w:r>
        <w:t xml:space="preserve">, up roughly</w:t>
      </w:r>
      <w:r>
        <w:t xml:space="preserve"> </w:t>
      </w:r>
      <w:r>
        <w:rPr>
          <w:b/>
          <w:bCs/>
        </w:rPr>
        <w:t xml:space="preserve">18% from June 30</w:t>
      </w:r>
      <w:r>
        <w:t xml:space="preserve">, though still about</w:t>
      </w:r>
      <w:r>
        <w:t xml:space="preserve"> </w:t>
      </w:r>
      <w:r>
        <w:rPr>
          <w:b/>
          <w:bCs/>
        </w:rPr>
        <w:t xml:space="preserve">4% below its January 2 close</w:t>
      </w:r>
      <w:r>
        <w:t xml:space="preserve">. That setup suggests investors will likely focus less on a modest headline beat and more on evidence that 2026’s second-half growth and margin cadence remains intact.</w:t>
      </w:r>
    </w:p>
    <w:bookmarkEnd w:id="9"/>
    <w:bookmarkStart w:id="14" w:name="what-matters-most"/>
    <w:p>
      <w:pPr>
        <w:pStyle w:val="Heading2"/>
      </w:pPr>
      <w:r>
        <w:t xml:space="preserve">What matters most</w:t>
      </w:r>
    </w:p>
    <w:bookmarkStart w:id="10" w:name="X303e40f9165d062c23a44624ce3fd203f492d6b"/>
    <w:p>
      <w:pPr>
        <w:pStyle w:val="Heading3"/>
      </w:pPr>
      <w:r>
        <w:t xml:space="preserve">1. Confirmation that organic growth is inflecting upward</w:t>
      </w:r>
    </w:p>
    <w:p>
      <w:pPr>
        <w:pStyle w:val="FirstParagraph"/>
      </w:pPr>
      <w:r>
        <w:t xml:space="preserve">In 1Q26, revenue grew</w:t>
      </w:r>
      <w:r>
        <w:t xml:space="preserve"> </w:t>
      </w:r>
      <w:r>
        <w:rPr>
          <w:b/>
          <w:bCs/>
        </w:rPr>
        <w:t xml:space="preserve">3.9% reported</w:t>
      </w:r>
      <w:r>
        <w:t xml:space="preserve"> </w:t>
      </w:r>
      <w:r>
        <w:t xml:space="preserve">and</w:t>
      </w:r>
      <w:r>
        <w:t xml:space="preserve"> </w:t>
      </w:r>
      <w:r>
        <w:rPr>
          <w:b/>
          <w:bCs/>
        </w:rPr>
        <w:t xml:space="preserve">4.7% organic constant currency (OCC)</w:t>
      </w:r>
      <w:r>
        <w:t xml:space="preserve">—below Verisk’s long-term</w:t>
      </w:r>
      <w:r>
        <w:t xml:space="preserve"> </w:t>
      </w:r>
      <w:r>
        <w:rPr>
          <w:b/>
          <w:bCs/>
        </w:rPr>
        <w:t xml:space="preserve">6%–8% OCC</w:t>
      </w:r>
      <w:r>
        <w:t xml:space="preserve"> </w:t>
      </w:r>
      <w:r>
        <w:t xml:space="preserve">framework, but modestly ahead of management’s internal expectations.</w:t>
      </w:r>
    </w:p>
    <w:p>
      <w:pPr>
        <w:pStyle w:val="BodyText"/>
      </w:pPr>
      <w:r>
        <w:t xml:space="preserve">Management explicitly said that 1Q would be the trough and that growth should improve sequentially through 2026. However, it also cautioned that 2Q could still be below the long-term range because the prior-year comparison remains difficult.</w:t>
      </w:r>
    </w:p>
    <w:p>
      <w:pPr>
        <w:pStyle w:val="BodyText"/>
      </w:pPr>
      <w:r>
        <w:rPr>
          <w:b/>
          <w:bCs/>
        </w:rPr>
        <w:t xml:space="preserve">For 2Q, investors should watch:</w:t>
      </w:r>
    </w:p>
    <w:p>
      <w:pPr>
        <w:pStyle w:val="Compact"/>
        <w:numPr>
          <w:ilvl w:val="0"/>
          <w:numId w:val="1001"/>
        </w:numPr>
      </w:pPr>
      <w:r>
        <w:t xml:space="preserve">Consolidated OCC revenue growth versus 1Q’s</w:t>
      </w:r>
      <w:r>
        <w:t xml:space="preserve"> </w:t>
      </w:r>
      <w:r>
        <w:rPr>
          <w:b/>
          <w:bCs/>
        </w:rPr>
        <w:t xml:space="preserve">4.7%</w:t>
      </w:r>
    </w:p>
    <w:p>
      <w:pPr>
        <w:pStyle w:val="Compact"/>
        <w:numPr>
          <w:ilvl w:val="0"/>
          <w:numId w:val="1001"/>
        </w:numPr>
      </w:pPr>
      <w:r>
        <w:t xml:space="preserve">Subscription-revenue growth, which was</w:t>
      </w:r>
      <w:r>
        <w:t xml:space="preserve"> </w:t>
      </w:r>
      <w:r>
        <w:rPr>
          <w:b/>
          <w:bCs/>
        </w:rPr>
        <w:t xml:space="preserve">7% OCC</w:t>
      </w:r>
      <w:r>
        <w:t xml:space="preserve"> </w:t>
      </w:r>
      <w:r>
        <w:t xml:space="preserve">in 1Q and represented</w:t>
      </w:r>
      <w:r>
        <w:t xml:space="preserve"> </w:t>
      </w:r>
      <w:r>
        <w:rPr>
          <w:b/>
          <w:bCs/>
        </w:rPr>
        <w:t xml:space="preserve">84%</w:t>
      </w:r>
      <w:r>
        <w:t xml:space="preserve"> </w:t>
      </w:r>
      <w:r>
        <w:t xml:space="preserve">of revenue</w:t>
      </w:r>
    </w:p>
    <w:p>
      <w:pPr>
        <w:pStyle w:val="Compact"/>
        <w:numPr>
          <w:ilvl w:val="0"/>
          <w:numId w:val="1001"/>
        </w:numPr>
      </w:pPr>
      <w:r>
        <w:t xml:space="preserve">Whether Underwriting can sustain or improve on its</w:t>
      </w:r>
      <w:r>
        <w:t xml:space="preserve"> </w:t>
      </w:r>
      <w:r>
        <w:rPr>
          <w:b/>
          <w:bCs/>
        </w:rPr>
        <w:t xml:space="preserve">5.3% OCC</w:t>
      </w:r>
      <w:r>
        <w:t xml:space="preserve"> </w:t>
      </w:r>
      <w:r>
        <w:t xml:space="preserve">1Q growth</w:t>
      </w:r>
    </w:p>
    <w:p>
      <w:pPr>
        <w:pStyle w:val="Compact"/>
        <w:numPr>
          <w:ilvl w:val="0"/>
          <w:numId w:val="1001"/>
        </w:numPr>
      </w:pPr>
      <w:r>
        <w:t xml:space="preserve">Whether Claims moves beyond its</w:t>
      </w:r>
      <w:r>
        <w:t xml:space="preserve"> </w:t>
      </w:r>
      <w:r>
        <w:rPr>
          <w:b/>
          <w:bCs/>
        </w:rPr>
        <w:t xml:space="preserve">3.4% OCC</w:t>
      </w:r>
      <w:r>
        <w:t xml:space="preserve"> </w:t>
      </w:r>
      <w:r>
        <w:t xml:space="preserve">1Q growth rate</w:t>
      </w:r>
    </w:p>
    <w:p>
      <w:pPr>
        <w:pStyle w:val="Compact"/>
        <w:numPr>
          <w:ilvl w:val="0"/>
          <w:numId w:val="1001"/>
        </w:numPr>
      </w:pPr>
      <w:r>
        <w:t xml:space="preserve">Management’s commentary on the timing of a return to the 6%–8% long-term growth range</w:t>
      </w:r>
    </w:p>
    <w:p>
      <w:pPr>
        <w:pStyle w:val="FirstParagraph"/>
      </w:pPr>
      <w:r>
        <w:t xml:space="preserve">A result showing only a marginal sequential improvement could be acceptable if management gives credible support for a stronger second half. A failure to improve, particularly in subscription growth, would challenge the “1Q trough” narrative.</w:t>
      </w:r>
    </w:p>
    <w:bookmarkEnd w:id="10"/>
    <w:bookmarkStart w:id="11" w:name="Xc3c98780fe0586fa2190233f123d27805a59f83"/>
    <w:p>
      <w:pPr>
        <w:pStyle w:val="Heading3"/>
      </w:pPr>
      <w:r>
        <w:t xml:space="preserve">2. Transactional revenue and the weather-sensitive Claims business</w:t>
      </w:r>
    </w:p>
    <w:p>
      <w:pPr>
        <w:pStyle w:val="FirstParagraph"/>
      </w:pPr>
      <w:r>
        <w:t xml:space="preserve">The most visible variable is Claims, particularly Property and Restoration Solutions. Transactional revenue was</w:t>
      </w:r>
      <w:r>
        <w:t xml:space="preserve"> </w:t>
      </w:r>
      <w:r>
        <w:rPr>
          <w:b/>
          <w:bCs/>
        </w:rPr>
        <w:t xml:space="preserve">16% of 1Q revenue</w:t>
      </w:r>
      <w:r>
        <w:t xml:space="preserve"> </w:t>
      </w:r>
      <w:r>
        <w:t xml:space="preserve">and fell</w:t>
      </w:r>
      <w:r>
        <w:t xml:space="preserve"> </w:t>
      </w:r>
      <w:r>
        <w:rPr>
          <w:b/>
          <w:bCs/>
        </w:rPr>
        <w:t xml:space="preserve">6.1% OCC</w:t>
      </w:r>
      <w:r>
        <w:t xml:space="preserve">, primarily due to low weather-related activity, softer personal-auto volumes, and lower property overages.</w:t>
      </w:r>
    </w:p>
    <w:p>
      <w:pPr>
        <w:pStyle w:val="BodyText"/>
      </w:pPr>
      <w:r>
        <w:t xml:space="preserve">The 2Q25 comparison is not easy: Claims grew</w:t>
      </w:r>
      <w:r>
        <w:t xml:space="preserve"> </w:t>
      </w:r>
      <w:r>
        <w:rPr>
          <w:b/>
          <w:bCs/>
        </w:rPr>
        <w:t xml:space="preserve">8.3% OCC</w:t>
      </w:r>
      <w:r>
        <w:t xml:space="preserve"> </w:t>
      </w:r>
      <w:r>
        <w:t xml:space="preserve">a year ago, driven by property-estimating and anti-fraud solutions. That makes the quality of 2Q26 Claims growth important.</w:t>
      </w:r>
    </w:p>
    <w:p>
      <w:pPr>
        <w:pStyle w:val="BodyText"/>
      </w:pPr>
      <w:r>
        <w:t xml:space="preserve">The investor debate is not simply whether weather helps transactional activity. It is whether Verisk’s recurring products—anti-fraud, property-estimating workflow tools, and related ecosystem offerings—are becoming sufficiently durable to offset normal event-driven volatility.</w:t>
      </w:r>
    </w:p>
    <w:p>
      <w:pPr>
        <w:pStyle w:val="BodyText"/>
      </w:pPr>
      <w:r>
        <w:rPr>
          <w:b/>
          <w:bCs/>
        </w:rPr>
        <w:t xml:space="preserve">Positive read-throughs would include:</w:t>
      </w:r>
    </w:p>
    <w:p>
      <w:pPr>
        <w:pStyle w:val="Compact"/>
        <w:numPr>
          <w:ilvl w:val="0"/>
          <w:numId w:val="1002"/>
        </w:numPr>
      </w:pPr>
      <w:r>
        <w:t xml:space="preserve">Stabilization or recovery in property/restoration transaction volumes</w:t>
      </w:r>
    </w:p>
    <w:p>
      <w:pPr>
        <w:pStyle w:val="Compact"/>
        <w:numPr>
          <w:ilvl w:val="0"/>
          <w:numId w:val="1002"/>
        </w:numPr>
      </w:pPr>
      <w:r>
        <w:t xml:space="preserve">Continued new-client and value-based renewal momentum in anti-fraud</w:t>
      </w:r>
    </w:p>
    <w:p>
      <w:pPr>
        <w:pStyle w:val="Compact"/>
        <w:numPr>
          <w:ilvl w:val="0"/>
          <w:numId w:val="1002"/>
        </w:numPr>
      </w:pPr>
      <w:r>
        <w:t xml:space="preserve">Adoption of Digital Media Forensics and Claims Coverage Identifier</w:t>
      </w:r>
    </w:p>
    <w:p>
      <w:pPr>
        <w:pStyle w:val="Compact"/>
        <w:numPr>
          <w:ilvl w:val="0"/>
          <w:numId w:val="1002"/>
        </w:numPr>
      </w:pPr>
      <w:r>
        <w:t xml:space="preserve">Evidence that AI-enabled claims tools are driving measurable productivity or pricing opportunity</w:t>
      </w:r>
    </w:p>
    <w:bookmarkEnd w:id="11"/>
    <w:bookmarkStart w:id="12" w:name="X6ff736fc3e318c7c4b6bfb73ff4886befe5353a"/>
    <w:p>
      <w:pPr>
        <w:pStyle w:val="Heading3"/>
      </w:pPr>
      <w:r>
        <w:t xml:space="preserve">3. Underwriting pricing and Core Lines Reimagine remain the core engine</w:t>
      </w:r>
    </w:p>
    <w:p>
      <w:pPr>
        <w:pStyle w:val="FirstParagraph"/>
      </w:pPr>
      <w:r>
        <w:t xml:space="preserve">Underwriting is the larger and more strategic revenue bucket. In 1Q, management cited strong renewal pricing in Forms, Rules &amp; Loss Costs, expanded multiyear contract terms, and continued adoption of Core Lines Reimagine.</w:t>
      </w:r>
    </w:p>
    <w:p>
      <w:pPr>
        <w:pStyle w:val="BodyText"/>
      </w:pPr>
      <w:r>
        <w:t xml:space="preserve">The key structural evidence is compelling:</w:t>
      </w:r>
    </w:p>
    <w:p>
      <w:pPr>
        <w:pStyle w:val="Compact"/>
        <w:numPr>
          <w:ilvl w:val="0"/>
          <w:numId w:val="1003"/>
        </w:numPr>
      </w:pPr>
      <w:r>
        <w:t xml:space="preserve">Core Lines Reimagine has accelerated growth in that business by</w:t>
      </w:r>
      <w:r>
        <w:t xml:space="preserve"> </w:t>
      </w:r>
      <w:r>
        <w:rPr>
          <w:b/>
          <w:bCs/>
        </w:rPr>
        <w:t xml:space="preserve">250 basis points</w:t>
      </w:r>
      <w:r>
        <w:t xml:space="preserve">, according to management.</w:t>
      </w:r>
    </w:p>
    <w:p>
      <w:pPr>
        <w:pStyle w:val="Compact"/>
        <w:numPr>
          <w:ilvl w:val="0"/>
          <w:numId w:val="1003"/>
        </w:numPr>
      </w:pPr>
      <w:r>
        <w:t xml:space="preserve">Verisk had released seven new client-facing modules in 1Q and planned</w:t>
      </w:r>
      <w:r>
        <w:t xml:space="preserve"> </w:t>
      </w:r>
      <w:r>
        <w:rPr>
          <w:b/>
          <w:bCs/>
        </w:rPr>
        <w:t xml:space="preserve">25 releases</w:t>
      </w:r>
      <w:r>
        <w:t xml:space="preserve"> </w:t>
      </w:r>
      <w:r>
        <w:t xml:space="preserve">during 2026.</w:t>
      </w:r>
    </w:p>
    <w:p>
      <w:pPr>
        <w:pStyle w:val="Compact"/>
        <w:numPr>
          <w:ilvl w:val="0"/>
          <w:numId w:val="1003"/>
        </w:numPr>
      </w:pPr>
      <w:r>
        <w:t xml:space="preserve">The company has added data contributors in Core Lines and is building an excess-and-surplus contributory-data set.</w:t>
      </w:r>
    </w:p>
    <w:p>
      <w:pPr>
        <w:pStyle w:val="Compact"/>
        <w:numPr>
          <w:ilvl w:val="0"/>
          <w:numId w:val="1003"/>
        </w:numPr>
      </w:pPr>
      <w:r>
        <w:t xml:space="preserve">The company says its largest client contracts have increasingly carried roughly</w:t>
      </w:r>
      <w:r>
        <w:t xml:space="preserve"> </w:t>
      </w:r>
      <w:r>
        <w:rPr>
          <w:b/>
          <w:bCs/>
        </w:rPr>
        <w:t xml:space="preserve">four- to five-year terms</w:t>
      </w:r>
      <w:r>
        <w:t xml:space="preserve">.</w:t>
      </w:r>
    </w:p>
    <w:p>
      <w:pPr>
        <w:pStyle w:val="FirstParagraph"/>
      </w:pPr>
      <w:r>
        <w:t xml:space="preserve">For 2Q, investors should listen for the durability of price realization in a softer insurance-pricing environment. Carriers are shifting from a profitability-first posture toward growth and competition, especially in commercial property. That can create procurement pressure—but Verisk argues its data and regulatory workflow role become more valuable when clients need better risk selection and operating efficiency.</w:t>
      </w:r>
    </w:p>
    <w:bookmarkEnd w:id="12"/>
    <w:bookmarkStart w:id="13" w:name="Xc385e18df857cfdaa1b98ca3e4ddeacb4a15488"/>
    <w:p>
      <w:pPr>
        <w:pStyle w:val="Heading3"/>
      </w:pPr>
      <w:r>
        <w:t xml:space="preserve">4. Margin performance may be more important than the revenue headline</w:t>
      </w:r>
    </w:p>
    <w:p>
      <w:pPr>
        <w:pStyle w:val="FirstParagraph"/>
      </w:pPr>
      <w:r>
        <w:t xml:space="preserve">Verisk generated 1Q adjusted EBITDA of</w:t>
      </w:r>
      <w:r>
        <w:t xml:space="preserve"> </w:t>
      </w:r>
      <w:r>
        <w:rPr>
          <w:b/>
          <w:bCs/>
        </w:rPr>
        <w:t xml:space="preserve">$437.5 million</w:t>
      </w:r>
      <w:r>
        <w:t xml:space="preserve">, up</w:t>
      </w:r>
      <w:r>
        <w:t xml:space="preserve"> </w:t>
      </w:r>
      <w:r>
        <w:rPr>
          <w:b/>
          <w:bCs/>
        </w:rPr>
        <w:t xml:space="preserve">5.0%</w:t>
      </w:r>
      <w:r>
        <w:t xml:space="preserve">, with a</w:t>
      </w:r>
      <w:r>
        <w:t xml:space="preserve"> </w:t>
      </w:r>
      <w:r>
        <w:rPr>
          <w:b/>
          <w:bCs/>
        </w:rPr>
        <w:t xml:space="preserve">55.9% margin</w:t>
      </w:r>
      <w:r>
        <w:t xml:space="preserve">, up 60 basis points year over year. The company’s full-year guide calls for a</w:t>
      </w:r>
      <w:r>
        <w:t xml:space="preserve"> </w:t>
      </w:r>
      <w:r>
        <w:rPr>
          <w:b/>
          <w:bCs/>
        </w:rPr>
        <w:t xml:space="preserve">56.0%–56.5%</w:t>
      </w:r>
      <w:r>
        <w:t xml:space="preserve"> </w:t>
      </w:r>
      <w:r>
        <w:t xml:space="preserve">adjusted EBITDA margin.</w:t>
      </w:r>
    </w:p>
    <w:p>
      <w:pPr>
        <w:pStyle w:val="BodyText"/>
      </w:pPr>
      <w:r>
        <w:t xml:space="preserve">The complication is the comparison: management has flagged that 2Q25 margins benefited from a</w:t>
      </w:r>
      <w:r>
        <w:t xml:space="preserve"> </w:t>
      </w:r>
      <w:r>
        <w:rPr>
          <w:b/>
          <w:bCs/>
        </w:rPr>
        <w:t xml:space="preserve">120-basis-point foreign-currency translation tailwind</w:t>
      </w:r>
      <w:r>
        <w:t xml:space="preserve"> </w:t>
      </w:r>
      <w:r>
        <w:t xml:space="preserve">that will not recur. In addition, expense growth should increase through the year as Verisk continues investing in AI, data, product releases, and go-to-market capacity.</w:t>
      </w:r>
    </w:p>
    <w:p>
      <w:pPr>
        <w:pStyle w:val="BodyText"/>
      </w:pPr>
      <w:r>
        <w:t xml:space="preserve">Therefore, a year-over-year margin decline in 2Q would not automatically be a negative surprise. What matters is whether:</w:t>
      </w:r>
    </w:p>
    <w:p>
      <w:pPr>
        <w:pStyle w:val="Compact"/>
        <w:numPr>
          <w:ilvl w:val="0"/>
          <w:numId w:val="1004"/>
        </w:numPr>
      </w:pPr>
      <w:r>
        <w:t xml:space="preserve">the decline is consistent with the known FX comparison,</w:t>
      </w:r>
    </w:p>
    <w:p>
      <w:pPr>
        <w:pStyle w:val="Compact"/>
        <w:numPr>
          <w:ilvl w:val="0"/>
          <w:numId w:val="1004"/>
        </w:numPr>
      </w:pPr>
      <w:r>
        <w:t xml:space="preserve">expense investment remains controlled, and</w:t>
      </w:r>
    </w:p>
    <w:p>
      <w:pPr>
        <w:pStyle w:val="Compact"/>
        <w:numPr>
          <w:ilvl w:val="0"/>
          <w:numId w:val="1004"/>
        </w:numPr>
      </w:pPr>
      <w:r>
        <w:t xml:space="preserve">the company can still credibly deliver full-year margin expansion.</w:t>
      </w:r>
    </w:p>
    <w:bookmarkEnd w:id="13"/>
    <w:bookmarkEnd w:id="14"/>
    <w:bookmarkStart w:id="15" w:name="guidance-is-the-key-stock-moving-item"/>
    <w:p>
      <w:pPr>
        <w:pStyle w:val="Heading2"/>
      </w:pPr>
      <w:r>
        <w:t xml:space="preserve">Guidance is the key stock-moving item</w:t>
      </w:r>
    </w:p>
    <w:p>
      <w:pPr>
        <w:pStyle w:val="FirstParagraph"/>
      </w:pPr>
      <w:r>
        <w:t xml:space="preserve">Verisk reaffirmed its full-year 2026 outlook after 1Q: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guidance</w:t>
            </w:r>
          </w:p>
        </w:tc>
        <w:tc>
          <w:tcPr/>
          <w:p>
            <w:pPr>
              <w:pStyle w:val="Compact"/>
              <w:jc w:val="right"/>
            </w:pPr>
            <w:r>
              <w:t xml:space="preserve">Range</w:t>
            </w:r>
          </w:p>
        </w:tc>
      </w:tr>
      <w:tr>
        <w:tc>
          <w:tcPr/>
          <w:p>
            <w:pPr>
              <w:pStyle w:val="Compact"/>
            </w:pPr>
            <w:r>
              <w:t xml:space="preserve">Revenue</w:t>
            </w:r>
          </w:p>
        </w:tc>
        <w:tc>
          <w:tcPr/>
          <w:p>
            <w:pPr>
              <w:pStyle w:val="Compact"/>
              <w:jc w:val="right"/>
            </w:pPr>
            <m:oMath>
              <m:r>
                <m:t>3.19</m:t>
              </m:r>
              <m:r>
                <m:t>B</m:t>
              </m:r>
              <m:r>
                <m:rPr>
                  <m:sty m:val="p"/>
                </m:rPr>
                <m:t>–</m:t>
              </m:r>
            </m:oMath>
            <w:r>
              <w:rPr>
                <w:b/>
                <w:bCs/>
              </w:rPr>
              <w:t xml:space="preserve">3.24B</w:t>
            </w:r>
          </w:p>
        </w:tc>
      </w:tr>
      <w:tr>
        <w:tc>
          <w:tcPr/>
          <w:p>
            <w:pPr>
              <w:pStyle w:val="Compact"/>
            </w:pPr>
            <w:r>
              <w:t xml:space="preserve">Adjusted EBITDA</w:t>
            </w:r>
          </w:p>
        </w:tc>
        <w:tc>
          <w:tcPr/>
          <w:p>
            <w:pPr>
              <w:pStyle w:val="Compact"/>
              <w:jc w:val="right"/>
            </w:pPr>
            <m:oMath>
              <m:r>
                <m:t>1.79</m:t>
              </m:r>
              <m:r>
                <m:t>B</m:t>
              </m:r>
              <m:r>
                <m:rPr>
                  <m:sty m:val="p"/>
                </m:rPr>
                <m:t>–</m:t>
              </m:r>
            </m:oMath>
            <w:r>
              <w:rPr>
                <w:b/>
                <w:bCs/>
              </w:rPr>
              <w:t xml:space="preserve">1.83B</w:t>
            </w:r>
          </w:p>
        </w:tc>
      </w:tr>
      <w:tr>
        <w:tc>
          <w:tcPr/>
          <w:p>
            <w:pPr>
              <w:pStyle w:val="Compact"/>
            </w:pPr>
            <w:r>
              <w:t xml:space="preserve">Adjusted EBITDA margin</w:t>
            </w:r>
          </w:p>
        </w:tc>
        <w:tc>
          <w:tcPr/>
          <w:p>
            <w:pPr>
              <w:pStyle w:val="Compact"/>
              <w:jc w:val="right"/>
            </w:pPr>
            <w:r>
              <w:rPr>
                <w:b/>
                <w:bCs/>
              </w:rPr>
              <w:t xml:space="preserve">56.0%–56.5%</w:t>
            </w:r>
          </w:p>
        </w:tc>
      </w:tr>
      <w:tr>
        <w:tc>
          <w:tcPr/>
          <w:p>
            <w:pPr>
              <w:pStyle w:val="Compact"/>
            </w:pPr>
            <w:r>
              <w:t xml:space="preserve">Adjusted diluted EPS</w:t>
            </w:r>
          </w:p>
        </w:tc>
        <w:tc>
          <w:tcPr/>
          <w:p>
            <w:pPr>
              <w:pStyle w:val="Compact"/>
              <w:jc w:val="right"/>
            </w:pPr>
            <m:oMath>
              <m:r>
                <m:t>7.45</m:t>
              </m:r>
              <m:r>
                <m:rPr>
                  <m:sty m:val="p"/>
                </m:rPr>
                <m:t>–</m:t>
              </m:r>
            </m:oMath>
            <w:r>
              <w:rPr>
                <w:b/>
                <w:bCs/>
              </w:rPr>
              <w:t xml:space="preserve">7.75</w:t>
            </w:r>
          </w:p>
        </w:tc>
      </w:tr>
      <w:tr>
        <w:tc>
          <w:tcPr/>
          <w:p>
            <w:pPr>
              <w:pStyle w:val="Compact"/>
            </w:pPr>
            <w:r>
              <w:t xml:space="preserve">Net interest expense</w:t>
            </w:r>
          </w:p>
        </w:tc>
        <w:tc>
          <w:tcPr/>
          <w:p>
            <w:pPr>
              <w:pStyle w:val="Compact"/>
              <w:jc w:val="right"/>
            </w:pPr>
            <m:oMath>
              <m:r>
                <m:t>190</m:t>
              </m:r>
              <m:r>
                <m:t>M</m:t>
              </m:r>
              <m:r>
                <m:rPr>
                  <m:sty m:val="p"/>
                </m:rPr>
                <m:t>–</m:t>
              </m:r>
            </m:oMath>
            <w:r>
              <w:rPr>
                <w:b/>
                <w:bCs/>
              </w:rPr>
              <w:t xml:space="preserve">200M</w:t>
            </w:r>
          </w:p>
        </w:tc>
      </w:tr>
      <w:tr>
        <w:tc>
          <w:tcPr/>
          <w:p>
            <w:pPr>
              <w:pStyle w:val="Compact"/>
            </w:pPr>
            <w:r>
              <w:t xml:space="preserve">Tax rate</w:t>
            </w:r>
          </w:p>
        </w:tc>
        <w:tc>
          <w:tcPr/>
          <w:p>
            <w:pPr>
              <w:pStyle w:val="Compact"/>
              <w:jc w:val="right"/>
            </w:pPr>
            <w:r>
              <w:rPr>
                <w:b/>
                <w:bCs/>
              </w:rPr>
              <w:t xml:space="preserve">23%–26%</w:t>
            </w:r>
          </w:p>
        </w:tc>
      </w:tr>
      <w:tr>
        <w:tc>
          <w:tcPr/>
          <w:p>
            <w:pPr>
              <w:pStyle w:val="Compact"/>
            </w:pPr>
            <w:r>
              <w:t xml:space="preserve">Capex</w:t>
            </w:r>
          </w:p>
        </w:tc>
        <w:tc>
          <w:tcPr/>
          <w:p>
            <w:pPr>
              <w:pStyle w:val="Compact"/>
              <w:jc w:val="right"/>
            </w:pPr>
            <m:oMath>
              <m:r>
                <m:t>260</m:t>
              </m:r>
              <m:r>
                <m:t>M</m:t>
              </m:r>
              <m:r>
                <m:rPr>
                  <m:sty m:val="p"/>
                </m:rPr>
                <m:t>–</m:t>
              </m:r>
            </m:oMath>
            <w:r>
              <w:rPr>
                <w:b/>
                <w:bCs/>
              </w:rPr>
              <w:t xml:space="preserve">280M</w:t>
            </w:r>
          </w:p>
        </w:tc>
      </w:tr>
    </w:tbl>
    <w:p>
      <w:pPr>
        <w:pStyle w:val="BodyText"/>
      </w:pPr>
      <w:r>
        <w:t xml:space="preserve">After 1Q’s $782.6 million of revenue, $437.5 million of adjusted EBITDA, and $1.82 of adjusted EPS, the implied performance required across the final three quarters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Implied 2Q–4Q26 cumulative performance</w:t>
            </w:r>
          </w:p>
        </w:tc>
        <w:tc>
          <w:tcPr/>
          <w:p>
            <w:pPr>
              <w:pStyle w:val="Compact"/>
              <w:jc w:val="right"/>
            </w:pPr>
            <w:r>
              <w:t xml:space="preserve">Low end</w:t>
            </w:r>
          </w:p>
        </w:tc>
        <w:tc>
          <w:tcPr/>
          <w:p>
            <w:pPr>
              <w:pStyle w:val="Compact"/>
              <w:jc w:val="right"/>
            </w:pPr>
            <w:r>
              <w:t xml:space="preserve">High end</w:t>
            </w:r>
          </w:p>
        </w:tc>
      </w:tr>
      <w:tr>
        <w:tc>
          <w:tcPr/>
          <w:p>
            <w:pPr>
              <w:pStyle w:val="Compact"/>
            </w:pPr>
            <w:r>
              <w:t xml:space="preserve">Revenue</w:t>
            </w:r>
          </w:p>
        </w:tc>
        <w:tc>
          <w:tcPr/>
          <w:p>
            <w:pPr>
              <w:pStyle w:val="Compact"/>
              <w:jc w:val="right"/>
            </w:pPr>
            <w:r>
              <w:rPr>
                <w:b/>
                <w:bCs/>
              </w:rPr>
              <w:t xml:space="preserve">$2.41B</w:t>
            </w:r>
          </w:p>
        </w:tc>
        <w:tc>
          <w:tcPr/>
          <w:p>
            <w:pPr>
              <w:pStyle w:val="Compact"/>
              <w:jc w:val="right"/>
            </w:pPr>
            <w:r>
              <w:rPr>
                <w:b/>
                <w:bCs/>
              </w:rPr>
              <w:t xml:space="preserve">$2.46B</w:t>
            </w:r>
          </w:p>
        </w:tc>
      </w:tr>
      <w:tr>
        <w:tc>
          <w:tcPr/>
          <w:p>
            <w:pPr>
              <w:pStyle w:val="Compact"/>
            </w:pPr>
            <w:r>
              <w:t xml:space="preserve">Adjusted EBITDA</w:t>
            </w:r>
          </w:p>
        </w:tc>
        <w:tc>
          <w:tcPr/>
          <w:p>
            <w:pPr>
              <w:pStyle w:val="Compact"/>
              <w:jc w:val="right"/>
            </w:pPr>
            <w:r>
              <w:rPr>
                <w:b/>
                <w:bCs/>
              </w:rPr>
              <w:t xml:space="preserve">$1.35B</w:t>
            </w:r>
          </w:p>
        </w:tc>
        <w:tc>
          <w:tcPr/>
          <w:p>
            <w:pPr>
              <w:pStyle w:val="Compact"/>
              <w:jc w:val="right"/>
            </w:pPr>
            <w:r>
              <w:rPr>
                <w:b/>
                <w:bCs/>
              </w:rPr>
              <w:t xml:space="preserve">$1.39B</w:t>
            </w:r>
          </w:p>
        </w:tc>
      </w:tr>
      <w:tr>
        <w:tc>
          <w:tcPr/>
          <w:p>
            <w:pPr>
              <w:pStyle w:val="Compact"/>
            </w:pPr>
            <w:r>
              <w:t xml:space="preserve">Adjusted EPS</w:t>
            </w:r>
          </w:p>
        </w:tc>
        <w:tc>
          <w:tcPr/>
          <w:p>
            <w:pPr>
              <w:pStyle w:val="Compact"/>
              <w:jc w:val="right"/>
            </w:pPr>
            <w:r>
              <w:rPr>
                <w:b/>
                <w:bCs/>
              </w:rPr>
              <w:t xml:space="preserve">$5.63</w:t>
            </w:r>
          </w:p>
        </w:tc>
        <w:tc>
          <w:tcPr/>
          <w:p>
            <w:pPr>
              <w:pStyle w:val="Compact"/>
              <w:jc w:val="right"/>
            </w:pPr>
            <w:r>
              <w:rPr>
                <w:b/>
                <w:bCs/>
              </w:rPr>
              <w:t xml:space="preserve">$5.93</w:t>
            </w:r>
          </w:p>
        </w:tc>
      </w:tr>
    </w:tbl>
    <w:p>
      <w:pPr>
        <w:pStyle w:val="BodyText"/>
      </w:pPr>
      <w:r>
        <w:t xml:space="preserve">That does not make the 2Q hurdle especially onerous in isolation. But the market will want to know whether Verisk is still on a path to a stronger back half, particularly given the approximately</w:t>
      </w:r>
      <w:r>
        <w:t xml:space="preserve"> </w:t>
      </w:r>
      <m:oMath>
        <m:r>
          <m:t>68</m:t>
        </m:r>
        <m:r>
          <m:t>m</m:t>
        </m:r>
        <m:r>
          <m:t>i</m:t>
        </m:r>
        <m:r>
          <m:t>l</m:t>
        </m:r>
        <m:r>
          <m:t>l</m:t>
        </m:r>
        <m:r>
          <m:t>i</m:t>
        </m:r>
        <m:r>
          <m:t>o</m:t>
        </m:r>
        <m:r>
          <m:t>n</m:t>
        </m:r>
        <m:r>
          <m:t>2025</m:t>
        </m:r>
        <m:r>
          <m:t>r</m:t>
        </m:r>
        <m:r>
          <m:t>e</m:t>
        </m:r>
        <m:r>
          <m:t>v</m:t>
        </m:r>
        <m:r>
          <m:t>e</m:t>
        </m:r>
        <m:r>
          <m:t>n</m:t>
        </m:r>
        <m:r>
          <m:t>u</m:t>
        </m:r>
        <m:r>
          <m:t>e</m:t>
        </m:r>
        <m:r>
          <m:t>h</m:t>
        </m:r>
        <m:r>
          <m:t>e</m:t>
        </m:r>
        <m:r>
          <m:t>a</m:t>
        </m:r>
        <m:r>
          <m:t>d</m:t>
        </m:r>
        <m:r>
          <m:t>w</m:t>
        </m:r>
        <m:r>
          <m:t>i</m:t>
        </m:r>
        <m:r>
          <m:t>n</m:t>
        </m:r>
        <m:r>
          <m:t>d</m:t>
        </m:r>
        <m:r>
          <m:rPr>
            <m:sty m:val="p"/>
          </m:rPr>
          <m:t>*</m:t>
        </m:r>
        <m:r>
          <m:rPr>
            <m:sty m:val="p"/>
          </m:rPr>
          <m:t>*</m:t>
        </m:r>
        <m:r>
          <m:t>f</m:t>
        </m:r>
        <m:r>
          <m:t>r</m:t>
        </m:r>
        <m:r>
          <m:t>o</m:t>
        </m:r>
        <m:r>
          <m:t>m</m:t>
        </m:r>
        <m:r>
          <m:t>t</m:t>
        </m:r>
        <m:r>
          <m:t>h</m:t>
        </m:r>
        <m:r>
          <m:t>e</m:t>
        </m:r>
        <m:r>
          <m:t>V</m:t>
        </m:r>
        <m:r>
          <m:t>e</m:t>
        </m:r>
        <m:r>
          <m:t>r</m:t>
        </m:r>
        <m:r>
          <m:t>i</m:t>
        </m:r>
        <m:r>
          <m:t>s</m:t>
        </m:r>
        <m:r>
          <m:t>k</m:t>
        </m:r>
        <m:r>
          <m:t>M</m:t>
        </m:r>
        <m:r>
          <m:t>a</m:t>
        </m:r>
        <m:r>
          <m:t>r</m:t>
        </m:r>
        <m:r>
          <m:t>k</m:t>
        </m:r>
        <m:r>
          <m:t>e</m:t>
        </m:r>
        <m:r>
          <m:t>t</m:t>
        </m:r>
        <m:r>
          <m:t>i</m:t>
        </m:r>
        <m:r>
          <m:t>n</m:t>
        </m:r>
        <m:r>
          <m:t>g</m:t>
        </m:r>
        <m:r>
          <m:t>S</m:t>
        </m:r>
        <m:r>
          <m:t>o</m:t>
        </m:r>
        <m:r>
          <m:t>l</m:t>
        </m:r>
        <m:r>
          <m:t>u</m:t>
        </m:r>
        <m:r>
          <m:t>t</m:t>
        </m:r>
        <m:r>
          <m:t>i</m:t>
        </m:r>
        <m:r>
          <m:t>o</m:t>
        </m:r>
        <m:r>
          <m:t>n</m:t>
        </m:r>
        <m:r>
          <m:t>s</m:t>
        </m:r>
        <m:r>
          <m:t>d</m:t>
        </m:r>
        <m:r>
          <m:t>i</m:t>
        </m:r>
        <m:r>
          <m:t>v</m:t>
        </m:r>
        <m:r>
          <m:t>e</m:t>
        </m:r>
        <m:r>
          <m:t>s</m:t>
        </m:r>
        <m:r>
          <m:t>t</m:t>
        </m:r>
        <m:r>
          <m:t>i</m:t>
        </m:r>
        <m:r>
          <m:t>t</m:t>
        </m:r>
        <m:r>
          <m:t>u</m:t>
        </m:r>
        <m:r>
          <m:t>r</m:t>
        </m:r>
        <m:r>
          <m:t>e</m:t>
        </m:r>
        <m:r>
          <m:t>a</m:t>
        </m:r>
        <m:r>
          <m:t>n</m:t>
        </m:r>
        <m:r>
          <m:t>d</m:t>
        </m:r>
        <m:r>
          <m:t>t</m:t>
        </m:r>
        <m:r>
          <m:t>h</m:t>
        </m:r>
        <m:r>
          <m:t>e</m:t>
        </m:r>
        <m:r>
          <m:t>a</m:t>
        </m:r>
        <m:r>
          <m:t>s</m:t>
        </m:r>
        <m:r>
          <m:t>s</m:t>
        </m:r>
        <m:r>
          <m:t>o</m:t>
        </m:r>
        <m:r>
          <m:t>c</m:t>
        </m:r>
        <m:r>
          <m:t>i</m:t>
        </m:r>
        <m:r>
          <m:t>a</m:t>
        </m:r>
        <m:r>
          <m:t>t</m:t>
        </m:r>
        <m:r>
          <m:t>e</m:t>
        </m:r>
        <m:r>
          <m:t>d</m:t>
        </m:r>
        <m:r>
          <m:rPr>
            <m:sty m:val="p"/>
          </m:rPr>
          <m:t>*</m:t>
        </m:r>
        <m:r>
          <m:rPr>
            <m:sty m:val="p"/>
          </m:rPr>
          <m:t>*</m:t>
        </m:r>
      </m:oMath>
      <w:r>
        <w:rPr>
          <w:b/>
          <w:bCs/>
        </w:rPr>
        <w:t xml:space="preserve">0.11 EPS</w:t>
      </w:r>
      <w:r>
        <w:t xml:space="preserve"> </w:t>
      </w:r>
      <w:r>
        <w:t xml:space="preserve">headwind.</w:t>
      </w:r>
    </w:p>
    <w:p>
      <w:pPr>
        <w:pStyle w:val="BodyText"/>
      </w:pPr>
      <w:r>
        <w:rPr>
          <w:b/>
          <w:bCs/>
        </w:rPr>
        <w:t xml:space="preserve">Our read:</w:t>
      </w:r>
      <w:r>
        <w:t xml:space="preserve"> </w:t>
      </w:r>
      <w:r>
        <w:t xml:space="preserve">A simple guide reiteration should be adequate only if accompanied by demonstrably better organic-growth trends. A raise would be powerful, but management may prefer to retain conservatism until it sees more of the weather-sensitive and AI-contracting cadence.</w:t>
      </w:r>
    </w:p>
    <w:bookmarkEnd w:id="15"/>
    <w:bookmarkStart w:id="16" w:name="Xbffed02a42be0a645608335344569b264c4f2d6"/>
    <w:p>
      <w:pPr>
        <w:pStyle w:val="Heading2"/>
      </w:pPr>
      <w:r>
        <w:t xml:space="preserve">AI: upside option, but not yet a near-term revenue driver</w:t>
      </w:r>
    </w:p>
    <w:p>
      <w:pPr>
        <w:pStyle w:val="FirstParagraph"/>
      </w:pPr>
      <w:r>
        <w:t xml:space="preserve">AI is central to the long-term thesis, though it is not likely to be the immediate earnings catalyst. Verisk’s investment case rests on its proprietary and contributory insurance datasets, regulatory-grade analytics, and deeply embedded workflows—not merely on deploying generic AI tools.</w:t>
      </w:r>
    </w:p>
    <w:p>
      <w:pPr>
        <w:pStyle w:val="BodyText"/>
      </w:pPr>
      <w:r>
        <w:t xml:space="preserve">Management has highlighted several routes to monetization:</w:t>
      </w:r>
    </w:p>
    <w:p>
      <w:pPr>
        <w:pStyle w:val="Compact"/>
        <w:numPr>
          <w:ilvl w:val="0"/>
          <w:numId w:val="1005"/>
        </w:numPr>
      </w:pPr>
      <w:r>
        <w:t xml:space="preserve">AI-enhanced products, including aerial imagery analytics and Digital Media Forensics</w:t>
      </w:r>
    </w:p>
    <w:p>
      <w:pPr>
        <w:pStyle w:val="Compact"/>
        <w:numPr>
          <w:ilvl w:val="0"/>
          <w:numId w:val="1005"/>
        </w:numPr>
      </w:pPr>
      <w:r>
        <w:t xml:space="preserve">Data integration into clients’ internal AI platforms</w:t>
      </w:r>
    </w:p>
    <w:p>
      <w:pPr>
        <w:pStyle w:val="Compact"/>
        <w:numPr>
          <w:ilvl w:val="0"/>
          <w:numId w:val="1005"/>
        </w:numPr>
      </w:pPr>
      <w:r>
        <w:t xml:space="preserve">Agentic underwriting workflows and co-development arrangements</w:t>
      </w:r>
    </w:p>
    <w:p>
      <w:pPr>
        <w:pStyle w:val="Compact"/>
        <w:numPr>
          <w:ilvl w:val="0"/>
          <w:numId w:val="1005"/>
        </w:numPr>
      </w:pPr>
      <w:r>
        <w:t xml:space="preserve">Efficiency opportunities in software development, data ingestion, and internal operations</w:t>
      </w:r>
    </w:p>
    <w:p>
      <w:pPr>
        <w:pStyle w:val="Compact"/>
        <w:numPr>
          <w:ilvl w:val="0"/>
          <w:numId w:val="1005"/>
        </w:numPr>
      </w:pPr>
      <w:r>
        <w:t xml:space="preserve">Catastrophe-modeling and Claims workflow applications</w:t>
      </w:r>
    </w:p>
    <w:p>
      <w:pPr>
        <w:pStyle w:val="FirstParagraph"/>
      </w:pPr>
      <w:r>
        <w:t xml:space="preserve">The near-term constraint is contracting: management acknowledged that AI-related deals can have longer sales cycles due to intellectual-property, data-governance, privacy, compliance, and regulatory requirements. That is strategically understandable in insurance, but it means the AI upside may arrive more gradually than the product excitement suggests.</w:t>
      </w:r>
    </w:p>
    <w:p>
      <w:pPr>
        <w:pStyle w:val="BodyText"/>
      </w:pPr>
      <w:r>
        <w:t xml:space="preserve">The most constructive 2Q commentary would be evidence of conversion—from trials and proofs of concept into paid, scalable deployments—without pressure on existing product pricing or margins.</w:t>
      </w:r>
    </w:p>
    <w:bookmarkEnd w:id="16"/>
    <w:bookmarkStart w:id="17" w:name="X54706d233c5dc0039434b5cd011529103c0445e"/>
    <w:p>
      <w:pPr>
        <w:pStyle w:val="Heading2"/>
      </w:pPr>
      <w:r>
        <w:t xml:space="preserve">Capital allocation: EPS support remains meaningful, but leverage and interest expense bear watching</w:t>
      </w:r>
    </w:p>
    <w:p>
      <w:pPr>
        <w:pStyle w:val="FirstParagraph"/>
      </w:pPr>
      <w:r>
        <w:t xml:space="preserve">Verisk executed a</w:t>
      </w:r>
      <w:r>
        <w:t xml:space="preserve"> </w:t>
      </w:r>
      <w:r>
        <w:rPr>
          <w:b/>
          <w:bCs/>
        </w:rPr>
        <w:t xml:space="preserve">$1.5 billion accelerated share repurchase</w:t>
      </w:r>
      <w:r>
        <w:t xml:space="preserve"> </w:t>
      </w:r>
      <w:r>
        <w:t xml:space="preserve">in 1Q and also repurchased</w:t>
      </w:r>
      <w:r>
        <w:t xml:space="preserve"> </w:t>
      </w:r>
      <m:oMath>
        <m:r>
          <m:t>126</m:t>
        </m:r>
        <m:r>
          <m:t>m</m:t>
        </m:r>
        <m:r>
          <m:t>i</m:t>
        </m:r>
        <m:r>
          <m:t>l</m:t>
        </m:r>
        <m:r>
          <m:t>l</m:t>
        </m:r>
        <m:r>
          <m:t>i</m:t>
        </m:r>
        <m:r>
          <m:t>o</m:t>
        </m:r>
        <m:r>
          <m:t>n</m:t>
        </m:r>
        <m:r>
          <m:t>o</m:t>
        </m:r>
        <m:r>
          <m:t>f</m:t>
        </m:r>
        <m:r>
          <m:t>s</m:t>
        </m:r>
        <m:r>
          <m:t>t</m:t>
        </m:r>
        <m:r>
          <m:t>o</m:t>
        </m:r>
        <m:r>
          <m:t>c</m:t>
        </m:r>
        <m:r>
          <m:t>k</m:t>
        </m:r>
        <m:r>
          <m:t>i</m:t>
        </m:r>
        <m:r>
          <m:t>n</m:t>
        </m:r>
        <m:r>
          <m:t>t</m:t>
        </m:r>
        <m:r>
          <m:t>h</m:t>
        </m:r>
        <m:r>
          <m:t>e</m:t>
        </m:r>
        <m:r>
          <m:t>o</m:t>
        </m:r>
        <m:r>
          <m:t>p</m:t>
        </m:r>
        <m:r>
          <m:t>e</m:t>
        </m:r>
        <m:r>
          <m:t>n</m:t>
        </m:r>
        <m:r>
          <m:t>m</m:t>
        </m:r>
        <m:r>
          <m:t>a</m:t>
        </m:r>
        <m:r>
          <m:t>r</m:t>
        </m:r>
        <m:r>
          <m:t>k</m:t>
        </m:r>
        <m:r>
          <m:t>e</m:t>
        </m:r>
        <m:r>
          <m:t>t</m:t>
        </m:r>
        <m:r>
          <m:rPr>
            <m:sty m:val="p"/>
          </m:rPr>
          <m:t>.</m:t>
        </m:r>
        <m:r>
          <m:t>I</m:t>
        </m:r>
        <m:r>
          <m:t>t</m:t>
        </m:r>
        <m:r>
          <m:t>r</m:t>
        </m:r>
        <m:r>
          <m:t>e</m:t>
        </m:r>
        <m:r>
          <m:t>t</m:t>
        </m:r>
        <m:r>
          <m:t>i</m:t>
        </m:r>
        <m:r>
          <m:t>r</m:t>
        </m:r>
        <m:r>
          <m:t>e</m:t>
        </m:r>
        <m:r>
          <m:t>d</m:t>
        </m:r>
        <m:r>
          <m:t>r</m:t>
        </m:r>
        <m:r>
          <m:t>o</m:t>
        </m:r>
        <m:r>
          <m:t>u</m:t>
        </m:r>
        <m:r>
          <m:t>g</m:t>
        </m:r>
        <m:r>
          <m:t>h</m:t>
        </m:r>
        <m:r>
          <m:t>l</m:t>
        </m:r>
        <m:r>
          <m:t>y</m:t>
        </m:r>
        <m:r>
          <m:rPr>
            <m:sty m:val="p"/>
          </m:rPr>
          <m:t>*</m:t>
        </m:r>
        <m:r>
          <m:rPr>
            <m:sty m:val="p"/>
          </m:rPr>
          <m:t>*</m:t>
        </m:r>
        <m:r>
          <m:t>7.6</m:t>
        </m:r>
        <m:r>
          <m:t>m</m:t>
        </m:r>
        <m:r>
          <m:t>i</m:t>
        </m:r>
        <m:r>
          <m:t>l</m:t>
        </m:r>
        <m:r>
          <m:t>l</m:t>
        </m:r>
        <m:r>
          <m:t>i</m:t>
        </m:r>
        <m:r>
          <m:t>o</m:t>
        </m:r>
        <m:r>
          <m:t>n</m:t>
        </m:r>
        <m:r>
          <m:t>s</m:t>
        </m:r>
        <m:r>
          <m:t>h</m:t>
        </m:r>
        <m:r>
          <m:t>a</m:t>
        </m:r>
        <m:r>
          <m:t>r</m:t>
        </m:r>
        <m:r>
          <m:t>e</m:t>
        </m:r>
        <m:r>
          <m:t>s</m:t>
        </m:r>
        <m:r>
          <m:rPr>
            <m:sty m:val="p"/>
          </m:rPr>
          <m:t>*</m:t>
        </m:r>
        <m:r>
          <m:rPr>
            <m:sty m:val="p"/>
          </m:rPr>
          <m:t>*</m:t>
        </m:r>
        <m:r>
          <m:t>i</m:t>
        </m:r>
        <m:r>
          <m:t>n</m:t>
        </m:r>
        <m:r>
          <m:t>t</m:t>
        </m:r>
        <m:r>
          <m:t>h</m:t>
        </m:r>
        <m:r>
          <m:t>e</m:t>
        </m:r>
        <m:r>
          <m:t>q</m:t>
        </m:r>
        <m:r>
          <m:t>u</m:t>
        </m:r>
        <m:r>
          <m:t>a</m:t>
        </m:r>
        <m:r>
          <m:t>r</m:t>
        </m:r>
        <m:r>
          <m:t>t</m:t>
        </m:r>
        <m:r>
          <m:t>e</m:t>
        </m:r>
        <m:r>
          <m:t>r</m:t>
        </m:r>
        <m:r>
          <m:t>a</m:t>
        </m:r>
        <m:r>
          <m:t>n</m:t>
        </m:r>
        <m:r>
          <m:t>d</m:t>
        </m:r>
        <m:r>
          <m:t>h</m:t>
        </m:r>
        <m:r>
          <m:t>a</m:t>
        </m:r>
        <m:r>
          <m:t>d</m:t>
        </m:r>
        <m:r>
          <m:t>a</m:t>
        </m:r>
        <m:r>
          <m:t>b</m:t>
        </m:r>
        <m:r>
          <m:t>o</m:t>
        </m:r>
        <m:r>
          <m:t>u</m:t>
        </m:r>
        <m:r>
          <m:t>t</m:t>
        </m:r>
        <m:r>
          <m:rPr>
            <m:sty m:val="p"/>
          </m:rPr>
          <m:t>*</m:t>
        </m:r>
        <m:r>
          <m:rPr>
            <m:sty m:val="p"/>
          </m:rPr>
          <m:t>*</m:t>
        </m:r>
      </m:oMath>
      <w:r>
        <w:t xml:space="preserve">1.0 billion** remaining under its authorization at March 31.</w:t>
      </w:r>
    </w:p>
    <w:p>
      <w:pPr>
        <w:pStyle w:val="BodyText"/>
      </w:pPr>
      <w:r>
        <w:t xml:space="preserve">The repurchase program supports adjusted EPS growth, but it came with incremental financing:</w:t>
      </w:r>
    </w:p>
    <w:p>
      <w:pPr>
        <w:pStyle w:val="Compact"/>
        <w:numPr>
          <w:ilvl w:val="0"/>
          <w:numId w:val="1006"/>
        </w:numPr>
      </w:pPr>
      <w:r>
        <w:t xml:space="preserve">1Q net interest expense rose to</w:t>
      </w:r>
      <w:r>
        <w:t xml:space="preserve"> </w:t>
      </w:r>
      <w:r>
        <w:rPr>
          <w:b/>
          <w:bCs/>
        </w:rPr>
        <w:t xml:space="preserve">$43.2 million</w:t>
      </w:r>
      <w:r>
        <w:t xml:space="preserve"> </w:t>
      </w:r>
      <w:r>
        <w:t xml:space="preserve">from $36.3 million.</w:t>
      </w:r>
    </w:p>
    <w:p>
      <w:pPr>
        <w:pStyle w:val="Compact"/>
        <w:numPr>
          <w:ilvl w:val="0"/>
          <w:numId w:val="1006"/>
        </w:numPr>
      </w:pPr>
      <w:r>
        <w:t xml:space="preserve">Management expects quarterly interest expense to run higher after the full-period effect of the new debt.</w:t>
      </w:r>
    </w:p>
    <w:p>
      <w:pPr>
        <w:pStyle w:val="Compact"/>
        <w:numPr>
          <w:ilvl w:val="0"/>
          <w:numId w:val="1006"/>
        </w:numPr>
      </w:pPr>
      <w:r>
        <w:t xml:space="preserve">Leverage stood at</w:t>
      </w:r>
      <w:r>
        <w:t xml:space="preserve"> </w:t>
      </w:r>
      <w:r>
        <w:rPr>
          <w:b/>
          <w:bCs/>
        </w:rPr>
        <w:t xml:space="preserve">2.4x debt / adjusted EBITDA</w:t>
      </w:r>
      <w:r>
        <w:t xml:space="preserve">, within Verisk’s stated</w:t>
      </w:r>
      <w:r>
        <w:t xml:space="preserve"> </w:t>
      </w:r>
      <w:r>
        <w:rPr>
          <w:b/>
          <w:bCs/>
        </w:rPr>
        <w:t xml:space="preserve">2x–3x</w:t>
      </w:r>
      <w:r>
        <w:t xml:space="preserve"> </w:t>
      </w:r>
      <w:r>
        <w:t xml:space="preserve">target range.</w:t>
      </w:r>
    </w:p>
    <w:p>
      <w:pPr>
        <w:pStyle w:val="FirstParagraph"/>
      </w:pPr>
      <w:r>
        <w:t xml:space="preserve">This remains a manageable capital structure for a recurring-revenue business, but investors should monitor whether higher interest expense offsets too much of the operating leverage and share-count benefit.</w:t>
      </w:r>
    </w:p>
    <w:bookmarkEnd w:id="17"/>
    <w:bookmarkStart w:id="18" w:name="a-minor-but-timely-governance-item"/>
    <w:p>
      <w:pPr>
        <w:pStyle w:val="Heading2"/>
      </w:pPr>
      <w:r>
        <w:t xml:space="preserve">A minor, but timely, governance item</w:t>
      </w:r>
    </w:p>
    <w:p>
      <w:pPr>
        <w:pStyle w:val="FirstParagraph"/>
      </w:pPr>
      <w:r>
        <w:t xml:space="preserve">On</w:t>
      </w:r>
      <w:r>
        <w:t xml:space="preserve"> </w:t>
      </w:r>
      <w:r>
        <w:rPr>
          <w:b/>
          <w:bCs/>
        </w:rPr>
        <w:t xml:space="preserve">July 28</w:t>
      </w:r>
      <w:r>
        <w:t xml:space="preserve">, Verisk disclosed that CIO</w:t>
      </w:r>
      <w:r>
        <w:t xml:space="preserve"> </w:t>
      </w:r>
      <w:r>
        <w:rPr>
          <w:b/>
          <w:bCs/>
        </w:rPr>
        <w:t xml:space="preserve">Nick Daffan</w:t>
      </w:r>
      <w:r>
        <w:t xml:space="preserve"> </w:t>
      </w:r>
      <w:r>
        <w:t xml:space="preserve">will leave the CIO role effective</w:t>
      </w:r>
      <w:r>
        <w:t xml:space="preserve"> </w:t>
      </w:r>
      <w:r>
        <w:rPr>
          <w:b/>
          <w:bCs/>
        </w:rPr>
        <w:t xml:space="preserve">August 3</w:t>
      </w:r>
      <w:r>
        <w:t xml:space="preserve"> </w:t>
      </w:r>
      <w:r>
        <w:t xml:space="preserve">and become a Strategic Advisor through year-end. CTO</w:t>
      </w:r>
      <w:r>
        <w:t xml:space="preserve"> </w:t>
      </w:r>
      <w:r>
        <w:rPr>
          <w:b/>
          <w:bCs/>
        </w:rPr>
        <w:t xml:space="preserve">Jeff Negrete</w:t>
      </w:r>
      <w:r>
        <w:t xml:space="preserve"> </w:t>
      </w:r>
      <w:r>
        <w:t xml:space="preserve">will serve as interim CIO. The company described Daffan as a key leader in its mainframe-to-cloud modernization and AI-readiness efforts.</w:t>
      </w:r>
    </w:p>
    <w:p>
      <w:pPr>
        <w:pStyle w:val="BodyText"/>
      </w:pPr>
      <w:r>
        <w:t xml:space="preserve">This does not appear thesis-changing, but investors may reasonably ask about leadership continuity, technology-platform execution, and whether the transition affects the pace of AI product delivery.</w:t>
      </w:r>
    </w:p>
    <w:bookmarkEnd w:id="18"/>
    <w:bookmarkStart w:id="22" w:name="X7dc173eb25252726b702417b7cc4191e8f5941b"/>
    <w:p>
      <w:pPr>
        <w:pStyle w:val="Heading2"/>
      </w:pPr>
      <w:r>
        <w:t xml:space="preserve">What would constitute a bullish, neutral, or bearish report?</w:t>
      </w:r>
    </w:p>
    <w:bookmarkStart w:id="19" w:name="bullish"/>
    <w:p>
      <w:pPr>
        <w:pStyle w:val="Heading3"/>
      </w:pPr>
      <w:r>
        <w:t xml:space="preserve">Bullish</w:t>
      </w:r>
    </w:p>
    <w:p>
      <w:pPr>
        <w:pStyle w:val="Compact"/>
        <w:numPr>
          <w:ilvl w:val="0"/>
          <w:numId w:val="1007"/>
        </w:numPr>
      </w:pPr>
      <w:r>
        <w:t xml:space="preserve">OCC revenue growth clearly improves from 1Q’s 4.7%</w:t>
      </w:r>
    </w:p>
    <w:p>
      <w:pPr>
        <w:pStyle w:val="Compact"/>
        <w:numPr>
          <w:ilvl w:val="0"/>
          <w:numId w:val="1007"/>
        </w:numPr>
      </w:pPr>
      <w:r>
        <w:t xml:space="preserve">Subscription growth remains around high-single digits despite comparisons</w:t>
      </w:r>
    </w:p>
    <w:p>
      <w:pPr>
        <w:pStyle w:val="Compact"/>
        <w:numPr>
          <w:ilvl w:val="0"/>
          <w:numId w:val="1007"/>
        </w:numPr>
      </w:pPr>
      <w:r>
        <w:t xml:space="preserve">Claims transactional weakness moderates, with better property/restoration activity</w:t>
      </w:r>
    </w:p>
    <w:p>
      <w:pPr>
        <w:pStyle w:val="Compact"/>
        <w:numPr>
          <w:ilvl w:val="0"/>
          <w:numId w:val="1007"/>
        </w:numPr>
      </w:pPr>
      <w:r>
        <w:t xml:space="preserve">Underwriting renewals sustain price and multiyear-term momentum</w:t>
      </w:r>
    </w:p>
    <w:p>
      <w:pPr>
        <w:pStyle w:val="Compact"/>
        <w:numPr>
          <w:ilvl w:val="0"/>
          <w:numId w:val="1007"/>
        </w:numPr>
      </w:pPr>
      <w:r>
        <w:t xml:space="preserve">Margins perform better than investors feared despite the 2Q FX comparison</w:t>
      </w:r>
    </w:p>
    <w:p>
      <w:pPr>
        <w:pStyle w:val="Compact"/>
        <w:numPr>
          <w:ilvl w:val="0"/>
          <w:numId w:val="1007"/>
        </w:numPr>
      </w:pPr>
      <w:r>
        <w:t xml:space="preserve">Full-year guidance is reaffirmed with higher confidence—or raised</w:t>
      </w:r>
    </w:p>
    <w:p>
      <w:pPr>
        <w:pStyle w:val="Compact"/>
        <w:numPr>
          <w:ilvl w:val="0"/>
          <w:numId w:val="1007"/>
        </w:numPr>
      </w:pPr>
      <w:r>
        <w:t xml:space="preserve">AI commentary demonstrates paid deployments and a growing conversion pipeline</w:t>
      </w:r>
    </w:p>
    <w:bookmarkEnd w:id="19"/>
    <w:bookmarkStart w:id="20" w:name="neutral--in-line"/>
    <w:p>
      <w:pPr>
        <w:pStyle w:val="Heading3"/>
      </w:pPr>
      <w:r>
        <w:t xml:space="preserve">Neutral / in line</w:t>
      </w:r>
    </w:p>
    <w:p>
      <w:pPr>
        <w:pStyle w:val="Compact"/>
        <w:numPr>
          <w:ilvl w:val="0"/>
          <w:numId w:val="1008"/>
        </w:numPr>
      </w:pPr>
      <w:r>
        <w:t xml:space="preserve">Growth improves only modestly, but management preserves its full-year guide</w:t>
      </w:r>
    </w:p>
    <w:p>
      <w:pPr>
        <w:pStyle w:val="Compact"/>
        <w:numPr>
          <w:ilvl w:val="0"/>
          <w:numId w:val="1008"/>
        </w:numPr>
      </w:pPr>
      <w:r>
        <w:t xml:space="preserve">Claims remains weather- and volume-constrained</w:t>
      </w:r>
    </w:p>
    <w:p>
      <w:pPr>
        <w:pStyle w:val="Compact"/>
        <w:numPr>
          <w:ilvl w:val="0"/>
          <w:numId w:val="1008"/>
        </w:numPr>
      </w:pPr>
      <w:r>
        <w:t xml:space="preserve">Margin compression is explained by the expected FX comparison and investment timing</w:t>
      </w:r>
    </w:p>
    <w:p>
      <w:pPr>
        <w:pStyle w:val="Compact"/>
        <w:numPr>
          <w:ilvl w:val="0"/>
          <w:numId w:val="1008"/>
        </w:numPr>
      </w:pPr>
      <w:r>
        <w:t xml:space="preserve">AI pipeline remains promising but is still largely in trial, proof-of-concept, or contracting stages</w:t>
      </w:r>
    </w:p>
    <w:bookmarkEnd w:id="20"/>
    <w:bookmarkStart w:id="21" w:name="bearish"/>
    <w:p>
      <w:pPr>
        <w:pStyle w:val="Heading3"/>
      </w:pPr>
      <w:r>
        <w:t xml:space="preserve">Bearish</w:t>
      </w:r>
    </w:p>
    <w:p>
      <w:pPr>
        <w:pStyle w:val="Compact"/>
        <w:numPr>
          <w:ilvl w:val="0"/>
          <w:numId w:val="1009"/>
        </w:numPr>
      </w:pPr>
      <w:r>
        <w:t xml:space="preserve">OCC growth fails to improve or subscription growth decelerates materially</w:t>
      </w:r>
    </w:p>
    <w:p>
      <w:pPr>
        <w:pStyle w:val="Compact"/>
        <w:numPr>
          <w:ilvl w:val="0"/>
          <w:numId w:val="1009"/>
        </w:numPr>
      </w:pPr>
      <w:r>
        <w:t xml:space="preserve">Claims weakness broadens beyond weather-sensitive transactional products</w:t>
      </w:r>
    </w:p>
    <w:p>
      <w:pPr>
        <w:pStyle w:val="Compact"/>
        <w:numPr>
          <w:ilvl w:val="0"/>
          <w:numId w:val="1009"/>
        </w:numPr>
      </w:pPr>
      <w:r>
        <w:t xml:space="preserve">Pricing or contract-duration trends deteriorate in Underwriting</w:t>
      </w:r>
    </w:p>
    <w:p>
      <w:pPr>
        <w:pStyle w:val="Compact"/>
        <w:numPr>
          <w:ilvl w:val="0"/>
          <w:numId w:val="1009"/>
        </w:numPr>
      </w:pPr>
      <w:r>
        <w:t xml:space="preserve">Margin pressure exceeds the known FX issue</w:t>
      </w:r>
    </w:p>
    <w:p>
      <w:pPr>
        <w:pStyle w:val="Compact"/>
        <w:numPr>
          <w:ilvl w:val="0"/>
          <w:numId w:val="1009"/>
        </w:numPr>
      </w:pPr>
      <w:r>
        <w:t xml:space="preserve">Full-year guidance is cut, or guidance is retained but the second-half bridge lacks credibility</w:t>
      </w:r>
    </w:p>
    <w:p>
      <w:pPr>
        <w:pStyle w:val="Compact"/>
        <w:numPr>
          <w:ilvl w:val="0"/>
          <w:numId w:val="1009"/>
        </w:numPr>
      </w:pPr>
      <w:r>
        <w:t xml:space="preserve">Management signals that AI contracting delays are becoming a broader commercial issue rather than an isolated execution friction</w:t>
      </w:r>
    </w:p>
    <w:bookmarkEnd w:id="21"/>
    <w:bookmarkEnd w:id="22"/>
    <w:bookmarkStart w:id="24" w:name="bottom-line"/>
    <w:p>
      <w:pPr>
        <w:pStyle w:val="Heading2"/>
      </w:pPr>
      <w:r>
        <w:t xml:space="preserve">Bottom line</w:t>
      </w:r>
    </w:p>
    <w:p>
      <w:pPr>
        <w:pStyle w:val="FirstParagraph"/>
      </w:pPr>
      <w:r>
        <w:t xml:space="preserve">VRSK remains a differentiated insurance-data compounder with high recurring revenue, strong pricing power, embedded customer workflows, and an increasingly credible AI opportunity. But the 2Q26 report needs to validate management’s claim that 1Q was the growth trough.</w:t>
      </w:r>
    </w:p>
    <w:p>
      <w:pPr>
        <w:pStyle w:val="BodyText"/>
      </w:pPr>
      <w:r>
        <w:t xml:space="preserve">The most important datapoints are</w:t>
      </w:r>
      <w:r>
        <w:t xml:space="preserve"> </w:t>
      </w:r>
      <w:r>
        <w:rPr>
          <w:b/>
          <w:bCs/>
        </w:rPr>
        <w:t xml:space="preserve">sequential OCC growth acceleration, durable subscription growth, Claims stabilization, and confidence in the full-year guide</w:t>
      </w:r>
      <w:r>
        <w:t xml:space="preserve">. With the stock having rallied sharply into the report, investors are likely to reward evidence of a clean second-half setup more than a narrow EPS beat driven by buybacks.</w:t>
      </w:r>
    </w:p>
    <w:bookmarkStart w:id="23" w:name="sources-reviewed"/>
    <w:p>
      <w:pPr>
        <w:pStyle w:val="Heading3"/>
      </w:pPr>
      <w:r>
        <w:t xml:space="preserve">Sources reviewed</w:t>
      </w:r>
    </w:p>
    <w:p>
      <w:pPr>
        <w:pStyle w:val="Compact"/>
        <w:numPr>
          <w:ilvl w:val="0"/>
          <w:numId w:val="1010"/>
        </w:numPr>
      </w:pPr>
      <w:r>
        <w:t xml:space="preserve">Verisk 1Q26 earnings release and earnings-call transcript — April 29, 2026</w:t>
      </w:r>
    </w:p>
    <w:p>
      <w:pPr>
        <w:pStyle w:val="Compact"/>
        <w:numPr>
          <w:ilvl w:val="0"/>
          <w:numId w:val="1010"/>
        </w:numPr>
      </w:pPr>
      <w:r>
        <w:t xml:space="preserve">Verisk 2026 Investor Day transcript — March 5, 2026</w:t>
      </w:r>
    </w:p>
    <w:p>
      <w:pPr>
        <w:pStyle w:val="Compact"/>
        <w:numPr>
          <w:ilvl w:val="0"/>
          <w:numId w:val="1010"/>
        </w:numPr>
      </w:pPr>
      <w:r>
        <w:t xml:space="preserve">Verisk 2Q25 earnings release — July 30, 2025</w:t>
      </w:r>
    </w:p>
    <w:p>
      <w:pPr>
        <w:pStyle w:val="Compact"/>
        <w:numPr>
          <w:ilvl w:val="0"/>
          <w:numId w:val="1010"/>
        </w:numPr>
      </w:pPr>
      <w:r>
        <w:t xml:space="preserve">Verisk July 28, 2026 CIO-transition 8-K</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2026-07-29T00:19:38Z</dcterms:created>
  <dcterms:modified xsi:type="dcterms:W3CDTF">2026-07-29T00:19:38Z</dcterms:modified>
</cp:coreProperties>
</file>

<file path=docProps/custom.xml><?xml version="1.0" encoding="utf-8"?>
<Properties xmlns="http://schemas.openxmlformats.org/officeDocument/2006/custom-properties" xmlns:vt="http://schemas.openxmlformats.org/officeDocument/2006/docPropsVTypes"/>
</file>