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Verisk Analytics (VRSK)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Verisk Analytics, Inc.</w:t>
            </w:r>
          </w:p>
        </w:tc>
      </w:tr>
      <w:tr>
        <w:tc>
          <w:tcPr>
            <w:tcW w:type="dxa" w:w="4320"/>
          </w:tcPr>
          <w:p>
            <w:r>
              <w:rPr>
                <w:rFonts w:ascii="Calibri" w:hAnsi="Calibri"/>
                <w:b/>
                <w:sz w:val="22"/>
              </w:rPr>
              <w:t>Ticker</w:t>
            </w:r>
          </w:p>
        </w:tc>
        <w:tc>
          <w:tcPr>
            <w:tcW w:type="dxa" w:w="4320"/>
          </w:tcPr>
          <w:p>
            <w:r>
              <w:rPr>
                <w:rFonts w:ascii="Calibri" w:hAnsi="Calibri"/>
                <w:sz w:val="22"/>
              </w:rPr>
              <w:t>VRSK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Expected Earnings Date</w:t>
            </w:r>
          </w:p>
        </w:tc>
        <w:tc>
          <w:tcPr>
            <w:tcW w:type="dxa" w:w="4320"/>
          </w:tcPr>
          <w:p>
            <w:r>
              <w:rPr>
                <w:rFonts w:ascii="Calibri" w:hAnsi="Calibri"/>
                <w:sz w:val="22"/>
              </w:rPr>
              <w:t>TBD — expected late July / early August 2026</w:t>
            </w:r>
          </w:p>
        </w:tc>
      </w:tr>
      <w:tr>
        <w:tc>
          <w:tcPr>
            <w:tcW w:type="dxa" w:w="4320"/>
          </w:tcPr>
          <w:p>
            <w:r>
              <w:rPr>
                <w:rFonts w:ascii="Calibri" w:hAnsi="Calibri"/>
                <w:b/>
                <w:sz w:val="22"/>
              </w:rPr>
              <w:t>Prepared Date</w:t>
            </w:r>
          </w:p>
        </w:tc>
        <w:tc>
          <w:tcPr>
            <w:tcW w:type="dxa" w:w="4320"/>
          </w:tcPr>
          <w:p>
            <w:r>
              <w:rPr>
                <w:rFonts w:ascii="Calibri" w:hAnsi="Calibri"/>
                <w:sz w:val="22"/>
              </w:rPr>
              <w:t>July 28, 2026</w:t>
            </w:r>
          </w:p>
        </w:tc>
      </w:tr>
      <w:tr>
        <w:tc>
          <w:tcPr>
            <w:tcW w:type="dxa" w:w="4320"/>
          </w:tcPr>
          <w:p>
            <w:r>
              <w:rPr>
                <w:rFonts w:ascii="Calibri" w:hAnsi="Calibri"/>
                <w:b/>
                <w:sz w:val="22"/>
              </w:rPr>
              <w:t>Last Earnings Date</w:t>
            </w:r>
          </w:p>
        </w:tc>
        <w:tc>
          <w:tcPr>
            <w:tcW w:type="dxa" w:w="4320"/>
          </w:tcPr>
          <w:p>
            <w:r>
              <w:rPr>
                <w:rFonts w:ascii="Calibri" w:hAnsi="Calibri"/>
                <w:sz w:val="22"/>
              </w:rPr>
              <w:t>April 29,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sits at a reasonable bar with OCC growth expected to remain below the long-term 6–8% target range, but the trajectory is improving and the biggest swing factor is whether transactional revenue (weather-driven property estimating) shows any sequential recovery.</w:t>
      </w:r>
    </w:p>
    <w:p>
      <w:r>
        <w:rPr>
          <w:rFonts w:ascii="Calibri" w:hAnsi="Calibri"/>
          <w:color w:val="525866"/>
          <w:sz w:val="22"/>
        </w:rPr>
        <w:t xml:space="preserve">Heading into Q2 2026, Verisk faces a quarter that management explicitly flagged as still below its long-term OCC growth target range, a continuation of the trough dynamic that defined Q1 2026 (4.7% OCC). </w:t>
      </w:r>
      <w:r>
        <w:rPr>
          <w:rFonts w:ascii="Calibri" w:hAnsi="Calibri"/>
          <w:b/>
          <w:color w:val="525866"/>
          <w:sz w:val="22"/>
        </w:rPr>
        <w:t>Consensus estimates Q2 revenue at ~$804M (+5.3% OCC) with adjusted EBITDA of ~$457M</w:t>
      </w:r>
      <w:r>
        <w:rPr>
          <w:rFonts w:ascii="Calibri" w:hAnsi="Calibri"/>
          <w:color w:val="525866"/>
          <w:sz w:val="22"/>
        </w:rPr>
        <w:t xml:space="preserve"> — a bar that reflects the known headwinds (weather carryover, tough subscription renewal comps from the strong H1 2025 cycle, and the government contract work stoppage) but also embeds a gradual sequential improvement narrative that management endorsed at both the Bernstein and William Blair conferences in late May/early June. Guidance tone has been stable-to-constructive: management reaffirmed full-year 2026 guidance ($3.19–$3.24B revenue, $7.45–$7.75 adj. EPS) at Q1 earnings and reiterated confidence in the H2 acceleration at subsequent conferences, with subscription growth sustainability and Core Lines Reimagine value realization cited as the primary drivers. Estimate revisions since the Q1 print have been modest and directionally positive, with Q2 revenue consensus up slightly from the post-Q1 baseline, suggesting the street is broadly aligned with management’s gradual improvement narrative rather than pricing in upside. </w:t>
      </w:r>
      <w:r>
        <w:rPr>
          <w:rFonts w:ascii="Calibri" w:hAnsi="Calibri"/>
          <w:b/>
          <w:color w:val="525866"/>
          <w:sz w:val="22"/>
        </w:rPr>
        <w:t>The stock has rallied ~12.8% since the Q1 earnings date (Apr 29) vs. SPGI down ~2.0%</w:t>
      </w:r>
      <w:r>
        <w:rPr>
          <w:rFonts w:ascii="Calibri" w:hAnsi="Calibri"/>
          <w:color w:val="525866"/>
          <w:sz w:val="22"/>
        </w:rPr>
        <w:t xml:space="preserve">, reflecting both the Q1 beat and growing confidence in the H2 re-acceleration story, which means the stock has already priced in a fair amount of the recovery. The key wildcard is </w:t>
      </w:r>
      <w:r>
        <w:rPr>
          <w:rFonts w:ascii="Calibri" w:hAnsi="Calibri"/>
          <w:b/>
          <w:color w:val="525866"/>
          <w:sz w:val="22"/>
        </w:rPr>
        <w:t>transactional revenue</w:t>
      </w:r>
      <w:r>
        <w:rPr>
          <w:rFonts w:ascii="Calibri" w:hAnsi="Calibri"/>
          <w:color w:val="525866"/>
          <w:sz w:val="22"/>
        </w:rPr>
        <w:t>: with no major hurricane activity in H1 2026 and continued softness in personal lines auto, any weather-driven upside (or further disappointment) in property estimating volumes could be the single biggest driver of a beat or miss versus the ~−3.6% OCC transactional consensus.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modest bar for Q2 2026 — OCC growth of ~5.3% is below the long-term 6–8% target, consistent with management’s own guidance that Q2 may still fall short of the range. </w:t>
      </w:r>
      <w:r>
        <w:rPr>
          <w:rFonts w:ascii="Calibri" w:hAnsi="Calibri"/>
          <w:b/>
          <w:color w:val="525866"/>
          <w:sz w:val="22"/>
        </w:rPr>
        <w:t>Subscription OCC growth (~7.2% consensus) is the more important swing factor</w:t>
      </w:r>
      <w:r>
        <w:rPr>
          <w:rFonts w:ascii="Calibri" w:hAnsi="Calibri"/>
          <w:color w:val="525866"/>
          <w:sz w:val="22"/>
        </w:rPr>
        <w:t>; transactional revenue remains a drag but is already expected to be negative, so any weather-driven upside would be incremental.</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$782.6M</w:t>
            </w:r>
          </w:p>
        </w:tc>
        <w:tc>
          <w:tcPr>
            <w:tcW w:type="dxa" w:w="1234"/>
          </w:tcPr>
          <w:p>
            <w:r>
              <w:rPr>
                <w:rFonts w:ascii="Calibri" w:hAnsi="Calibri"/>
                <w:sz w:val="22"/>
              </w:rPr>
              <w:t>$772.6M</w:t>
            </w:r>
          </w:p>
        </w:tc>
        <w:tc>
          <w:tcPr>
            <w:tcW w:type="dxa" w:w="1234"/>
          </w:tcPr>
          <w:p>
            <w:r>
              <w:rPr>
                <w:rFonts w:ascii="Calibri" w:hAnsi="Calibri"/>
                <w:sz w:val="22"/>
              </w:rPr>
              <w:t>$804.5M</w:t>
            </w:r>
          </w:p>
        </w:tc>
        <w:tc>
          <w:tcPr>
            <w:tcW w:type="dxa" w:w="1234"/>
          </w:tcPr>
          <w:p>
            <w:r>
              <w:rPr>
                <w:rFonts w:ascii="Calibri" w:hAnsi="Calibri"/>
                <w:sz w:val="22"/>
              </w:rPr>
              <w:t>+4.1%</w:t>
            </w:r>
          </w:p>
        </w:tc>
        <w:tc>
          <w:tcPr>
            <w:tcW w:type="dxa" w:w="1234"/>
          </w:tcPr>
          <w:p>
            <w:r>
              <w:rPr>
                <w:rFonts w:ascii="Calibri" w:hAnsi="Calibri"/>
                <w:sz w:val="22"/>
              </w:rPr>
              <w:t>$3,190–$3,240M</w:t>
            </w:r>
          </w:p>
        </w:tc>
        <w:tc>
          <w:tcPr>
            <w:tcW w:type="dxa" w:w="1234"/>
          </w:tcPr>
          <w:p>
            <w:r>
              <w:rPr>
                <w:rFonts w:ascii="Calibri" w:hAnsi="Calibri"/>
                <w:sz w:val="22"/>
              </w:rPr>
              <w:t>~+0.2% vs. $3,215M mid</w:t>
            </w:r>
          </w:p>
        </w:tc>
      </w:tr>
      <w:tr>
        <w:tc>
          <w:tcPr>
            <w:tcW w:type="dxa" w:w="1234"/>
          </w:tcPr>
          <w:p>
            <w:r>
              <w:rPr>
                <w:rFonts w:ascii="Calibri" w:hAnsi="Calibri"/>
                <w:sz w:val="22"/>
              </w:rPr>
              <w:t>Organic CC Revenue Growth (%)</w:t>
            </w:r>
          </w:p>
        </w:tc>
        <w:tc>
          <w:tcPr>
            <w:tcW w:type="dxa" w:w="1234"/>
          </w:tcPr>
          <w:p>
            <w:r>
              <w:rPr>
                <w:rFonts w:ascii="Calibri" w:hAnsi="Calibri"/>
                <w:sz w:val="22"/>
              </w:rPr>
              <w:t>4.7%</w:t>
            </w:r>
          </w:p>
        </w:tc>
        <w:tc>
          <w:tcPr>
            <w:tcW w:type="dxa" w:w="1234"/>
          </w:tcPr>
          <w:p>
            <w:r>
              <w:rPr>
                <w:rFonts w:ascii="Calibri" w:hAnsi="Calibri"/>
                <w:sz w:val="22"/>
              </w:rPr>
              <w:t>7.9%</w:t>
            </w:r>
          </w:p>
        </w:tc>
        <w:tc>
          <w:tcPr>
            <w:tcW w:type="dxa" w:w="1234"/>
          </w:tcPr>
          <w:p>
            <w:r>
              <w:rPr>
                <w:rFonts w:ascii="Calibri" w:hAnsi="Calibri"/>
                <w:sz w:val="22"/>
              </w:rPr>
              <w:t>5.3%</w:t>
            </w:r>
          </w:p>
        </w:tc>
        <w:tc>
          <w:tcPr>
            <w:tcW w:type="dxa" w:w="1234"/>
          </w:tcPr>
          <w:p>
            <w:r>
              <w:rPr>
                <w:rFonts w:ascii="Calibri" w:hAnsi="Calibri"/>
                <w:sz w:val="22"/>
              </w:rPr>
              <w:t>-260 bps YoY</w:t>
            </w:r>
          </w:p>
        </w:tc>
        <w:tc>
          <w:tcPr>
            <w:tcW w:type="dxa" w:w="1234"/>
          </w:tcPr>
          <w:p>
            <w:r>
              <w:rPr>
                <w:rFonts w:ascii="Calibri" w:hAnsi="Calibri"/>
                <w:sz w:val="22"/>
              </w:rPr>
              <w:t>6–8% LT target</w:t>
            </w:r>
          </w:p>
        </w:tc>
        <w:tc>
          <w:tcPr>
            <w:tcW w:type="dxa" w:w="1234"/>
          </w:tcPr>
          <w:p>
            <w:r>
              <w:rPr>
                <w:rFonts w:ascii="Calibri" w:hAnsi="Calibri"/>
                <w:sz w:val="22"/>
              </w:rPr>
              <w:t>Below LT range</w:t>
            </w:r>
          </w:p>
        </w:tc>
      </w:tr>
      <w:tr>
        <w:tc>
          <w:tcPr>
            <w:tcW w:type="dxa" w:w="1234"/>
          </w:tcPr>
          <w:p>
            <w:r>
              <w:rPr>
                <w:rFonts w:ascii="Calibri" w:hAnsi="Calibri"/>
                <w:sz w:val="22"/>
              </w:rPr>
              <w:t>Subscription Revenue ($M)</w:t>
            </w:r>
          </w:p>
        </w:tc>
        <w:tc>
          <w:tcPr>
            <w:tcW w:type="dxa" w:w="1234"/>
          </w:tcPr>
          <w:p>
            <w:r>
              <w:rPr>
                <w:rFonts w:ascii="Calibri" w:hAnsi="Calibri"/>
                <w:sz w:val="22"/>
              </w:rPr>
              <w:t>$657.5M</w:t>
            </w:r>
          </w:p>
        </w:tc>
        <w:tc>
          <w:tcPr>
            <w:tcW w:type="dxa" w:w="1234"/>
          </w:tcPr>
          <w:p>
            <w:r>
              <w:rPr>
                <w:rFonts w:ascii="Calibri" w:hAnsi="Calibri"/>
                <w:sz w:val="22"/>
              </w:rPr>
              <w:t>$637.5M</w:t>
            </w:r>
          </w:p>
        </w:tc>
        <w:tc>
          <w:tcPr>
            <w:tcW w:type="dxa" w:w="1234"/>
          </w:tcPr>
          <w:p>
            <w:r>
              <w:rPr>
                <w:rFonts w:ascii="Calibri" w:hAnsi="Calibri"/>
                <w:sz w:val="22"/>
              </w:rPr>
              <w:t>$674.2M</w:t>
            </w:r>
          </w:p>
        </w:tc>
        <w:tc>
          <w:tcPr>
            <w:tcW w:type="dxa" w:w="1234"/>
          </w:tcPr>
          <w:p>
            <w:r>
              <w:rPr>
                <w:rFonts w:ascii="Calibri" w:hAnsi="Calibri"/>
                <w:sz w:val="22"/>
              </w:rPr>
              <w:t>+5.8%</w:t>
            </w:r>
          </w:p>
        </w:tc>
        <w:tc>
          <w:tcPr>
            <w:tcW w:type="dxa" w:w="1234"/>
          </w:tcPr>
          <w:p>
            <w:r>
              <w:rPr>
                <w:rFonts w:ascii="Calibri" w:hAnsi="Calibri"/>
                <w:sz w:val="22"/>
              </w:rPr>
              <w:t>~84% of revenue</w:t>
            </w:r>
          </w:p>
        </w:tc>
        <w:tc>
          <w:tcPr>
            <w:tcW w:type="dxa" w:w="1234"/>
          </w:tcPr>
          <w:p>
            <w:r>
              <w:rPr>
                <w:rFonts w:ascii="Calibri" w:hAnsi="Calibri"/>
                <w:sz w:val="22"/>
              </w:rPr>
              <w:t>N/A — no $ guidance</w:t>
            </w:r>
          </w:p>
        </w:tc>
      </w:tr>
      <w:tr>
        <w:tc>
          <w:tcPr>
            <w:tcW w:type="dxa" w:w="1234"/>
          </w:tcPr>
          <w:p>
            <w:r>
              <w:rPr>
                <w:rFonts w:ascii="Calibri" w:hAnsi="Calibri"/>
                <w:sz w:val="22"/>
              </w:rPr>
              <w:t>Subscription OCC Growth (%)</w:t>
            </w:r>
          </w:p>
        </w:tc>
        <w:tc>
          <w:tcPr>
            <w:tcW w:type="dxa" w:w="1234"/>
          </w:tcPr>
          <w:p>
            <w:r>
              <w:rPr>
                <w:rFonts w:ascii="Calibri" w:hAnsi="Calibri"/>
                <w:sz w:val="22"/>
              </w:rPr>
              <w:t>7.0%</w:t>
            </w:r>
          </w:p>
        </w:tc>
        <w:tc>
          <w:tcPr>
            <w:tcW w:type="dxa" w:w="1234"/>
          </w:tcPr>
          <w:p>
            <w:r>
              <w:rPr>
                <w:rFonts w:ascii="Calibri" w:hAnsi="Calibri"/>
                <w:sz w:val="22"/>
              </w:rPr>
              <w:t>9.3%</w:t>
            </w:r>
          </w:p>
        </w:tc>
        <w:tc>
          <w:tcPr>
            <w:tcW w:type="dxa" w:w="1234"/>
          </w:tcPr>
          <w:p>
            <w:r>
              <w:rPr>
                <w:rFonts w:ascii="Calibri" w:hAnsi="Calibri"/>
                <w:sz w:val="22"/>
              </w:rPr>
              <w:t>7.2%</w:t>
            </w:r>
          </w:p>
        </w:tc>
        <w:tc>
          <w:tcPr>
            <w:tcW w:type="dxa" w:w="1234"/>
          </w:tcPr>
          <w:p>
            <w:r>
              <w:rPr>
                <w:rFonts w:ascii="Calibri" w:hAnsi="Calibri"/>
                <w:sz w:val="22"/>
              </w:rPr>
              <w:t>-210 bps YoY</w:t>
            </w:r>
          </w:p>
        </w:tc>
        <w:tc>
          <w:tcPr>
            <w:tcW w:type="dxa" w:w="1234"/>
          </w:tcPr>
          <w:p>
            <w:r>
              <w:rPr>
                <w:rFonts w:ascii="Calibri" w:hAnsi="Calibri"/>
                <w:sz w:val="22"/>
              </w:rPr>
              <w:t>Sustained ~7%</w:t>
            </w:r>
          </w:p>
        </w:tc>
        <w:tc>
          <w:tcPr>
            <w:tcW w:type="dxa" w:w="1234"/>
          </w:tcPr>
          <w:p>
            <w:r>
              <w:rPr>
                <w:rFonts w:ascii="Calibri" w:hAnsi="Calibri"/>
                <w:sz w:val="22"/>
              </w:rPr>
              <w:t>In line</w:t>
            </w:r>
          </w:p>
        </w:tc>
      </w:tr>
      <w:tr>
        <w:tc>
          <w:tcPr>
            <w:tcW w:type="dxa" w:w="1234"/>
          </w:tcPr>
          <w:p>
            <w:r>
              <w:rPr>
                <w:rFonts w:ascii="Calibri" w:hAnsi="Calibri"/>
                <w:sz w:val="22"/>
              </w:rPr>
              <w:t>Transactional Revenue ($M)</w:t>
            </w:r>
          </w:p>
        </w:tc>
        <w:tc>
          <w:tcPr>
            <w:tcW w:type="dxa" w:w="1234"/>
          </w:tcPr>
          <w:p>
            <w:r>
              <w:rPr>
                <w:rFonts w:ascii="Calibri" w:hAnsi="Calibri"/>
                <w:sz w:val="22"/>
              </w:rPr>
              <w:t>$125.2M</w:t>
            </w:r>
          </w:p>
        </w:tc>
        <w:tc>
          <w:tcPr>
            <w:tcW w:type="dxa" w:w="1234"/>
          </w:tcPr>
          <w:p>
            <w:r>
              <w:rPr>
                <w:rFonts w:ascii="Calibri" w:hAnsi="Calibri"/>
                <w:sz w:val="22"/>
              </w:rPr>
              <w:t>$135.2M</w:t>
            </w:r>
          </w:p>
        </w:tc>
        <w:tc>
          <w:tcPr>
            <w:tcW w:type="dxa" w:w="1234"/>
          </w:tcPr>
          <w:p>
            <w:r>
              <w:rPr>
                <w:rFonts w:ascii="Calibri" w:hAnsi="Calibri"/>
                <w:sz w:val="22"/>
              </w:rPr>
              <w:t>$130.1M</w:t>
            </w:r>
          </w:p>
        </w:tc>
        <w:tc>
          <w:tcPr>
            <w:tcW w:type="dxa" w:w="1234"/>
          </w:tcPr>
          <w:p>
            <w:r>
              <w:rPr>
                <w:rFonts w:ascii="Calibri" w:hAnsi="Calibri"/>
                <w:sz w:val="22"/>
              </w:rPr>
              <w:t>-3.8%</w:t>
            </w:r>
          </w:p>
        </w:tc>
        <w:tc>
          <w:tcPr>
            <w:tcW w:type="dxa" w:w="1234"/>
          </w:tcPr>
          <w:p>
            <w:r>
              <w:rPr>
                <w:rFonts w:ascii="Calibri" w:hAnsi="Calibri"/>
                <w:sz w:val="22"/>
              </w:rPr>
              <w:t>N/A — no $ guidance</w:t>
            </w:r>
          </w:p>
        </w:tc>
        <w:tc>
          <w:tcPr>
            <w:tcW w:type="dxa" w:w="1234"/>
          </w:tcPr>
          <w:p>
            <w:r>
              <w:rPr>
                <w:rFonts w:ascii="Calibri" w:hAnsi="Calibri"/>
                <w:sz w:val="22"/>
              </w:rPr>
              <w:t>N/A</w:t>
            </w:r>
          </w:p>
        </w:tc>
      </w:tr>
      <w:tr>
        <w:tc>
          <w:tcPr>
            <w:tcW w:type="dxa" w:w="1234"/>
          </w:tcPr>
          <w:p>
            <w:r>
              <w:rPr>
                <w:rFonts w:ascii="Calibri" w:hAnsi="Calibri"/>
                <w:sz w:val="22"/>
              </w:rPr>
              <w:t>Transactional OCC Growth (%)</w:t>
            </w:r>
          </w:p>
        </w:tc>
        <w:tc>
          <w:tcPr>
            <w:tcW w:type="dxa" w:w="1234"/>
          </w:tcPr>
          <w:p>
            <w:r>
              <w:rPr>
                <w:rFonts w:ascii="Calibri" w:hAnsi="Calibri"/>
                <w:sz w:val="22"/>
              </w:rPr>
              <w:t>-6.1%</w:t>
            </w:r>
          </w:p>
        </w:tc>
        <w:tc>
          <w:tcPr>
            <w:tcW w:type="dxa" w:w="1234"/>
          </w:tcPr>
          <w:p>
            <w:r>
              <w:rPr>
                <w:rFonts w:ascii="Calibri" w:hAnsi="Calibri"/>
                <w:sz w:val="22"/>
              </w:rPr>
              <w:t>+1.8%</w:t>
            </w:r>
          </w:p>
        </w:tc>
        <w:tc>
          <w:tcPr>
            <w:tcW w:type="dxa" w:w="1234"/>
          </w:tcPr>
          <w:p>
            <w:r>
              <w:rPr>
                <w:rFonts w:ascii="Calibri" w:hAnsi="Calibri"/>
                <w:sz w:val="22"/>
              </w:rPr>
              <w:t>-3.6%</w:t>
            </w:r>
          </w:p>
        </w:tc>
        <w:tc>
          <w:tcPr>
            <w:tcW w:type="dxa" w:w="1234"/>
          </w:tcPr>
          <w:p>
            <w:r>
              <w:rPr>
                <w:rFonts w:ascii="Calibri" w:hAnsi="Calibri"/>
                <w:sz w:val="22"/>
              </w:rPr>
              <w:t>N/M</w:t>
            </w:r>
          </w:p>
        </w:tc>
        <w:tc>
          <w:tcPr>
            <w:tcW w:type="dxa" w:w="1234"/>
          </w:tcPr>
          <w:p>
            <w:r>
              <w:rPr>
                <w:rFonts w:ascii="Calibri" w:hAnsi="Calibri"/>
                <w:sz w:val="22"/>
              </w:rPr>
              <w:t>Recovery in H2 2026</w:t>
            </w:r>
          </w:p>
        </w:tc>
        <w:tc>
          <w:tcPr>
            <w:tcW w:type="dxa" w:w="1234"/>
          </w:tcPr>
          <w:p>
            <w:r>
              <w:rPr>
                <w:rFonts w:ascii="Calibri" w:hAnsi="Calibri"/>
                <w:sz w:val="22"/>
              </w:rPr>
              <w:t>Below guidance tone</w:t>
            </w:r>
          </w:p>
        </w:tc>
      </w:tr>
      <w:tr>
        <w:tc>
          <w:tcPr>
            <w:tcW w:type="dxa" w:w="1234"/>
          </w:tcPr>
          <w:p>
            <w:r>
              <w:rPr>
                <w:rFonts w:ascii="Calibri" w:hAnsi="Calibri"/>
                <w:sz w:val="22"/>
              </w:rPr>
              <w:t>Adj. EBITDA ($M)</w:t>
            </w:r>
          </w:p>
        </w:tc>
        <w:tc>
          <w:tcPr>
            <w:tcW w:type="dxa" w:w="1234"/>
          </w:tcPr>
          <w:p>
            <w:r>
              <w:rPr>
                <w:rFonts w:ascii="Calibri" w:hAnsi="Calibri"/>
                <w:sz w:val="22"/>
              </w:rPr>
              <w:t>$437.5M</w:t>
            </w:r>
          </w:p>
        </w:tc>
        <w:tc>
          <w:tcPr>
            <w:tcW w:type="dxa" w:w="1234"/>
          </w:tcPr>
          <w:p>
            <w:r>
              <w:rPr>
                <w:rFonts w:ascii="Calibri" w:hAnsi="Calibri"/>
                <w:sz w:val="22"/>
              </w:rPr>
              <w:t>$444.8M</w:t>
            </w:r>
          </w:p>
        </w:tc>
        <w:tc>
          <w:tcPr>
            <w:tcW w:type="dxa" w:w="1234"/>
          </w:tcPr>
          <w:p>
            <w:r>
              <w:rPr>
                <w:rFonts w:ascii="Calibri" w:hAnsi="Calibri"/>
                <w:sz w:val="22"/>
              </w:rPr>
              <w:t>$456.9M</w:t>
            </w:r>
          </w:p>
        </w:tc>
        <w:tc>
          <w:tcPr>
            <w:tcW w:type="dxa" w:w="1234"/>
          </w:tcPr>
          <w:p>
            <w:r>
              <w:rPr>
                <w:rFonts w:ascii="Calibri" w:hAnsi="Calibri"/>
                <w:sz w:val="22"/>
              </w:rPr>
              <w:t>+2.7%</w:t>
            </w:r>
          </w:p>
        </w:tc>
        <w:tc>
          <w:tcPr>
            <w:tcW w:type="dxa" w:w="1234"/>
          </w:tcPr>
          <w:p>
            <w:r>
              <w:rPr>
                <w:rFonts w:ascii="Calibri" w:hAnsi="Calibri"/>
                <w:sz w:val="22"/>
              </w:rPr>
              <w:t>$1,790–$1,830M</w:t>
            </w:r>
          </w:p>
        </w:tc>
        <w:tc>
          <w:tcPr>
            <w:tcW w:type="dxa" w:w="1234"/>
          </w:tcPr>
          <w:p>
            <w:r>
              <w:rPr>
                <w:rFonts w:ascii="Calibri" w:hAnsi="Calibri"/>
                <w:sz w:val="22"/>
              </w:rPr>
              <w:t>~+0.2% vs. $1,810M mid</w:t>
            </w:r>
          </w:p>
        </w:tc>
      </w:tr>
      <w:tr>
        <w:tc>
          <w:tcPr>
            <w:tcW w:type="dxa" w:w="1234"/>
          </w:tcPr>
          <w:p>
            <w:r>
              <w:rPr>
                <w:rFonts w:ascii="Calibri" w:hAnsi="Calibri"/>
                <w:sz w:val="22"/>
              </w:rPr>
              <w:t>Adj. EBITDA Margin (%)</w:t>
            </w:r>
          </w:p>
        </w:tc>
        <w:tc>
          <w:tcPr>
            <w:tcW w:type="dxa" w:w="1234"/>
          </w:tcPr>
          <w:p>
            <w:r>
              <w:rPr>
                <w:rFonts w:ascii="Calibri" w:hAnsi="Calibri"/>
                <w:sz w:val="22"/>
              </w:rPr>
              <w:t>55.9%</w:t>
            </w:r>
          </w:p>
        </w:tc>
        <w:tc>
          <w:tcPr>
            <w:tcW w:type="dxa" w:w="1234"/>
          </w:tcPr>
          <w:p>
            <w:r>
              <w:rPr>
                <w:rFonts w:ascii="Calibri" w:hAnsi="Calibri"/>
                <w:sz w:val="22"/>
              </w:rPr>
              <w:t>57.6%</w:t>
            </w:r>
          </w:p>
        </w:tc>
        <w:tc>
          <w:tcPr>
            <w:tcW w:type="dxa" w:w="1234"/>
          </w:tcPr>
          <w:p>
            <w:r>
              <w:rPr>
                <w:rFonts w:ascii="Calibri" w:hAnsi="Calibri"/>
                <w:sz w:val="22"/>
              </w:rPr>
              <w:t>~56.8%</w:t>
            </w:r>
          </w:p>
        </w:tc>
        <w:tc>
          <w:tcPr>
            <w:tcW w:type="dxa" w:w="1234"/>
          </w:tcPr>
          <w:p>
            <w:r>
              <w:rPr>
                <w:rFonts w:ascii="Calibri" w:hAnsi="Calibri"/>
                <w:sz w:val="22"/>
              </w:rPr>
              <w:t>-80 bps YoY</w:t>
            </w:r>
          </w:p>
        </w:tc>
        <w:tc>
          <w:tcPr>
            <w:tcW w:type="dxa" w:w="1234"/>
          </w:tcPr>
          <w:p>
            <w:r>
              <w:rPr>
                <w:rFonts w:ascii="Calibri" w:hAnsi="Calibri"/>
                <w:sz w:val="22"/>
              </w:rPr>
              <w:t>56.0–56.5%</w:t>
            </w:r>
          </w:p>
        </w:tc>
        <w:tc>
          <w:tcPr>
            <w:tcW w:type="dxa" w:w="1234"/>
          </w:tcPr>
          <w:p>
            <w:r>
              <w:rPr>
                <w:rFonts w:ascii="Calibri" w:hAnsi="Calibri"/>
                <w:sz w:val="22"/>
              </w:rPr>
              <w:t>Above guidance range</w:t>
            </w:r>
          </w:p>
        </w:tc>
      </w:tr>
      <w:tr>
        <w:tc>
          <w:tcPr>
            <w:tcW w:type="dxa" w:w="1234"/>
          </w:tcPr>
          <w:p>
            <w:r>
              <w:rPr>
                <w:rFonts w:ascii="Calibri" w:hAnsi="Calibri"/>
                <w:sz w:val="22"/>
              </w:rPr>
              <w:t>Adj. EPS (Diluted)</w:t>
            </w:r>
          </w:p>
        </w:tc>
        <w:tc>
          <w:tcPr>
            <w:tcW w:type="dxa" w:w="1234"/>
          </w:tcPr>
          <w:p>
            <w:r>
              <w:rPr>
                <w:rFonts w:ascii="Calibri" w:hAnsi="Calibri"/>
                <w:sz w:val="22"/>
              </w:rPr>
              <w:t>$1.82</w:t>
            </w:r>
          </w:p>
        </w:tc>
        <w:tc>
          <w:tcPr>
            <w:tcW w:type="dxa" w:w="1234"/>
          </w:tcPr>
          <w:p>
            <w:r>
              <w:rPr>
                <w:rFonts w:ascii="Calibri" w:hAnsi="Calibri"/>
                <w:sz w:val="22"/>
              </w:rPr>
              <w:t>$1.88</w:t>
            </w:r>
          </w:p>
        </w:tc>
        <w:tc>
          <w:tcPr>
            <w:tcW w:type="dxa" w:w="1234"/>
          </w:tcPr>
          <w:p>
            <w:r>
              <w:rPr>
                <w:rFonts w:ascii="Calibri" w:hAnsi="Calibri"/>
                <w:sz w:val="22"/>
              </w:rPr>
              <w:t>$1.93</w:t>
            </w:r>
          </w:p>
        </w:tc>
        <w:tc>
          <w:tcPr>
            <w:tcW w:type="dxa" w:w="1234"/>
          </w:tcPr>
          <w:p>
            <w:r>
              <w:rPr>
                <w:rFonts w:ascii="Calibri" w:hAnsi="Calibri"/>
                <w:sz w:val="22"/>
              </w:rPr>
              <w:t>+2.7%</w:t>
            </w:r>
          </w:p>
        </w:tc>
        <w:tc>
          <w:tcPr>
            <w:tcW w:type="dxa" w:w="1234"/>
          </w:tcPr>
          <w:p>
            <w:r>
              <w:rPr>
                <w:rFonts w:ascii="Calibri" w:hAnsi="Calibri"/>
                <w:sz w:val="22"/>
              </w:rPr>
              <w:t>$7.45–$7.75</w:t>
            </w:r>
          </w:p>
        </w:tc>
        <w:tc>
          <w:tcPr>
            <w:tcW w:type="dxa" w:w="1234"/>
          </w:tcPr>
          <w:p>
            <w:r>
              <w:rPr>
                <w:rFonts w:ascii="Calibri" w:hAnsi="Calibri"/>
                <w:sz w:val="22"/>
              </w:rPr>
              <w:t>~+0.4% vs. $7.60 mid</w:t>
            </w:r>
          </w:p>
        </w:tc>
      </w:tr>
    </w:tbl>
    <w:p>
      <w:r>
        <w:rPr>
          <w:rFonts w:ascii="Calibri" w:hAnsi="Calibri"/>
          <w:i/>
          <w:color w:val="525866"/>
          <w:sz w:val="22"/>
        </w:rPr>
        <w:t>Source: Visible Alpha consensus and actuals data. Note: Q2 2026 adj. EBITDA margin derived from consensus revenue and EBITDA estimates. Prior year Q2 2025 margin of 57.6% included a 120 bps FX translation benefit that management flagged will not recur in Q2 2026, making the YoY margin comparison optically tougher.</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Organic Constant Currency (OCC) Revenue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4.7%</w:t>
            </w:r>
          </w:p>
        </w:tc>
        <w:tc>
          <w:tcPr>
            <w:tcW w:type="dxa" w:w="1728"/>
          </w:tcPr>
          <w:p>
            <w:r>
              <w:rPr>
                <w:rFonts w:ascii="Calibri" w:hAnsi="Calibri"/>
                <w:sz w:val="22"/>
              </w:rPr>
              <w:t>3.98%</w:t>
            </w:r>
          </w:p>
        </w:tc>
        <w:tc>
          <w:tcPr>
            <w:tcW w:type="dxa" w:w="1728"/>
          </w:tcPr>
          <w:p>
            <w:r>
              <w:rPr>
                <w:rFonts w:ascii="Calibri" w:hAnsi="Calibri"/>
                <w:b/>
                <w:color w:val="30A46C"/>
                <w:sz w:val="22"/>
              </w:rPr>
              <w:t>+72 bps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5.2%</w:t>
            </w:r>
          </w:p>
        </w:tc>
        <w:tc>
          <w:tcPr>
            <w:tcW w:type="dxa" w:w="1728"/>
          </w:tcPr>
          <w:p>
            <w:r>
              <w:rPr>
                <w:rFonts w:ascii="Calibri" w:hAnsi="Calibri"/>
                <w:sz w:val="22"/>
              </w:rPr>
              <w:t>4.51%</w:t>
            </w:r>
          </w:p>
        </w:tc>
        <w:tc>
          <w:tcPr>
            <w:tcW w:type="dxa" w:w="1728"/>
          </w:tcPr>
          <w:p>
            <w:r>
              <w:rPr>
                <w:rFonts w:ascii="Calibri" w:hAnsi="Calibri"/>
                <w:b/>
                <w:color w:val="30A46C"/>
                <w:sz w:val="22"/>
              </w:rPr>
              <w:t>+69 bps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5.5%</w:t>
            </w:r>
          </w:p>
        </w:tc>
        <w:tc>
          <w:tcPr>
            <w:tcW w:type="dxa" w:w="1728"/>
          </w:tcPr>
          <w:p>
            <w:r>
              <w:rPr>
                <w:rFonts w:ascii="Calibri" w:hAnsi="Calibri"/>
                <w:sz w:val="22"/>
              </w:rPr>
              <w:t>6.69%</w:t>
            </w:r>
          </w:p>
        </w:tc>
        <w:tc>
          <w:tcPr>
            <w:tcW w:type="dxa" w:w="1728"/>
          </w:tcPr>
          <w:p>
            <w:r>
              <w:rPr>
                <w:rFonts w:ascii="Calibri" w:hAnsi="Calibri"/>
                <w:b/>
                <w:color w:val="E5484D"/>
                <w:sz w:val="22"/>
              </w:rPr>
              <w:t>-119 bps</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7.9%</w:t>
            </w:r>
          </w:p>
        </w:tc>
        <w:tc>
          <w:tcPr>
            <w:tcW w:type="dxa" w:w="1728"/>
          </w:tcPr>
          <w:p>
            <w:r>
              <w:rPr>
                <w:rFonts w:ascii="Calibri" w:hAnsi="Calibri"/>
                <w:sz w:val="22"/>
              </w:rPr>
              <w:t>7.43%</w:t>
            </w:r>
          </w:p>
        </w:tc>
        <w:tc>
          <w:tcPr>
            <w:tcW w:type="dxa" w:w="1728"/>
          </w:tcPr>
          <w:p>
            <w:r>
              <w:rPr>
                <w:rFonts w:ascii="Calibri" w:hAnsi="Calibri"/>
                <w:b/>
                <w:color w:val="30A46C"/>
                <w:sz w:val="22"/>
              </w:rPr>
              <w:t>+47 bps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7.9%</w:t>
            </w:r>
          </w:p>
        </w:tc>
        <w:tc>
          <w:tcPr>
            <w:tcW w:type="dxa" w:w="1728"/>
          </w:tcPr>
          <w:p>
            <w:r>
              <w:rPr>
                <w:rFonts w:ascii="Calibri" w:hAnsi="Calibri"/>
                <w:sz w:val="22"/>
              </w:rPr>
              <w:t>7.08%</w:t>
            </w:r>
          </w:p>
        </w:tc>
        <w:tc>
          <w:tcPr>
            <w:tcW w:type="dxa" w:w="1728"/>
          </w:tcPr>
          <w:p>
            <w:r>
              <w:rPr>
                <w:rFonts w:ascii="Calibri" w:hAnsi="Calibri"/>
                <w:b/>
                <w:color w:val="30A46C"/>
                <w:sz w:val="22"/>
              </w:rPr>
              <w:t>+82 bps</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8.6%</w:t>
            </w:r>
          </w:p>
        </w:tc>
        <w:tc>
          <w:tcPr>
            <w:tcW w:type="dxa" w:w="1728"/>
          </w:tcPr>
          <w:p>
            <w:r>
              <w:rPr>
                <w:rFonts w:ascii="Calibri" w:hAnsi="Calibri"/>
                <w:sz w:val="22"/>
              </w:rPr>
              <w:t>8.17%</w:t>
            </w:r>
          </w:p>
        </w:tc>
        <w:tc>
          <w:tcPr>
            <w:tcW w:type="dxa" w:w="1728"/>
          </w:tcPr>
          <w:p>
            <w:r>
              <w:rPr>
                <w:rFonts w:ascii="Calibri" w:hAnsi="Calibri"/>
                <w:b/>
                <w:color w:val="30A46C"/>
                <w:sz w:val="22"/>
              </w:rPr>
              <w:t>+43 bps</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6.8%</w:t>
            </w:r>
          </w:p>
        </w:tc>
        <w:tc>
          <w:tcPr>
            <w:tcW w:type="dxa" w:w="1728"/>
          </w:tcPr>
          <w:p>
            <w:r>
              <w:rPr>
                <w:rFonts w:ascii="Calibri" w:hAnsi="Calibri"/>
                <w:sz w:val="22"/>
              </w:rPr>
              <w:t>6.34%</w:t>
            </w:r>
          </w:p>
        </w:tc>
        <w:tc>
          <w:tcPr>
            <w:tcW w:type="dxa" w:w="1728"/>
          </w:tcPr>
          <w:p>
            <w:r>
              <w:rPr>
                <w:rFonts w:ascii="Calibri" w:hAnsi="Calibri"/>
                <w:b/>
                <w:color w:val="30A46C"/>
                <w:sz w:val="22"/>
              </w:rPr>
              <w:t>+46 bps</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6.0%</w:t>
            </w:r>
          </w:p>
        </w:tc>
        <w:tc>
          <w:tcPr>
            <w:tcW w:type="dxa" w:w="1728"/>
          </w:tcPr>
          <w:p>
            <w:r>
              <w:rPr>
                <w:rFonts w:ascii="Calibri" w:hAnsi="Calibri"/>
                <w:sz w:val="22"/>
              </w:rPr>
              <w:t>6.84%</w:t>
            </w:r>
          </w:p>
        </w:tc>
        <w:tc>
          <w:tcPr>
            <w:tcW w:type="dxa" w:w="1728"/>
          </w:tcPr>
          <w:p>
            <w:r>
              <w:rPr>
                <w:rFonts w:ascii="Calibri" w:hAnsi="Calibri"/>
                <w:b/>
                <w:color w:val="E5484D"/>
                <w:sz w:val="22"/>
              </w:rPr>
              <w:t>-84 bps</w:t>
            </w:r>
          </w:p>
        </w:tc>
        <w:tc>
          <w:tcPr>
            <w:tcW w:type="dxa" w:w="1728"/>
          </w:tcPr>
          <w:p>
            <w:r>
              <w:rPr>
                <w:rFonts w:ascii="Calibri" w:hAnsi="Calibri"/>
                <w:b/>
                <w:color w:val="E5484D"/>
                <w:sz w:val="22"/>
              </w:rPr>
              <w:t>Miss</w:t>
            </w:r>
          </w:p>
        </w:tc>
      </w:tr>
    </w:tbl>
    <w:p>
      <w:pPr>
        <w:pStyle w:val="Heading4"/>
      </w:pPr>
      <w:r>
        <w:rPr>
          <w:rFonts w:ascii="Calibri" w:hAnsi="Calibri"/>
          <w:b/>
          <w:color w:val="3B4259"/>
          <w:sz w:val="22"/>
        </w:rPr>
        <w:t>Top KPI #2: Adjusted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$1.82</w:t>
            </w:r>
          </w:p>
        </w:tc>
        <w:tc>
          <w:tcPr>
            <w:tcW w:type="dxa" w:w="1728"/>
          </w:tcPr>
          <w:p>
            <w:r>
              <w:rPr>
                <w:rFonts w:ascii="Calibri" w:hAnsi="Calibri"/>
                <w:sz w:val="22"/>
              </w:rPr>
              <w:t>$1.74</w:t>
            </w:r>
          </w:p>
        </w:tc>
        <w:tc>
          <w:tcPr>
            <w:tcW w:type="dxa" w:w="1728"/>
          </w:tcPr>
          <w:p>
            <w:r>
              <w:rPr>
                <w:rFonts w:ascii="Calibri" w:hAnsi="Calibri"/>
                <w:b/>
                <w:color w:val="30A46C"/>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$1.82</w:t>
            </w:r>
          </w:p>
        </w:tc>
        <w:tc>
          <w:tcPr>
            <w:tcW w:type="dxa" w:w="1728"/>
          </w:tcPr>
          <w:p>
            <w:r>
              <w:rPr>
                <w:rFonts w:ascii="Calibri" w:hAnsi="Calibri"/>
                <w:sz w:val="22"/>
              </w:rPr>
              <w:t>$1.60</w:t>
            </w:r>
          </w:p>
        </w:tc>
        <w:tc>
          <w:tcPr>
            <w:tcW w:type="dxa" w:w="1728"/>
          </w:tcPr>
          <w:p>
            <w:r>
              <w:rPr>
                <w:rFonts w:ascii="Calibri" w:hAnsi="Calibri"/>
                <w:b/>
                <w:color w:val="30A46C"/>
                <w:sz w:val="22"/>
              </w:rPr>
              <w:t>+13.8%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$1.72</w:t>
            </w:r>
          </w:p>
        </w:tc>
        <w:tc>
          <w:tcPr>
            <w:tcW w:type="dxa" w:w="1728"/>
          </w:tcPr>
          <w:p>
            <w:r>
              <w:rPr>
                <w:rFonts w:ascii="Calibri" w:hAnsi="Calibri"/>
                <w:sz w:val="22"/>
              </w:rPr>
              <w:t>$1.71</w:t>
            </w:r>
          </w:p>
        </w:tc>
        <w:tc>
          <w:tcPr>
            <w:tcW w:type="dxa" w:w="1728"/>
          </w:tcPr>
          <w:p>
            <w:r>
              <w:rPr>
                <w:rFonts w:ascii="Calibri" w:hAnsi="Calibri"/>
                <w:b/>
                <w:color w:val="30A46C"/>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$1.88</w:t>
            </w:r>
          </w:p>
        </w:tc>
        <w:tc>
          <w:tcPr>
            <w:tcW w:type="dxa" w:w="1728"/>
          </w:tcPr>
          <w:p>
            <w:r>
              <w:rPr>
                <w:rFonts w:ascii="Calibri" w:hAnsi="Calibri"/>
                <w:sz w:val="22"/>
              </w:rPr>
              <w:t>$1.77</w:t>
            </w:r>
          </w:p>
        </w:tc>
        <w:tc>
          <w:tcPr>
            <w:tcW w:type="dxa" w:w="1728"/>
          </w:tcPr>
          <w:p>
            <w:r>
              <w:rPr>
                <w:rFonts w:ascii="Calibri" w:hAnsi="Calibri"/>
                <w:b/>
                <w:color w:val="30A46C"/>
                <w:sz w:val="22"/>
              </w:rPr>
              <w:t>+6.2%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$1.73</w:t>
            </w:r>
          </w:p>
        </w:tc>
        <w:tc>
          <w:tcPr>
            <w:tcW w:type="dxa" w:w="1728"/>
          </w:tcPr>
          <w:p>
            <w:r>
              <w:rPr>
                <w:rFonts w:ascii="Calibri" w:hAnsi="Calibri"/>
                <w:sz w:val="22"/>
              </w:rPr>
              <w:t>$1.68</w:t>
            </w:r>
          </w:p>
        </w:tc>
        <w:tc>
          <w:tcPr>
            <w:tcW w:type="dxa" w:w="1728"/>
          </w:tcPr>
          <w:p>
            <w:r>
              <w:rPr>
                <w:rFonts w:ascii="Calibri" w:hAnsi="Calibri"/>
                <w:b/>
                <w:color w:val="30A46C"/>
                <w:sz w:val="22"/>
              </w:rPr>
              <w:t>+3.0%</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$1.61</w:t>
            </w:r>
          </w:p>
        </w:tc>
        <w:tc>
          <w:tcPr>
            <w:tcW w:type="dxa" w:w="1728"/>
          </w:tcPr>
          <w:p>
            <w:r>
              <w:rPr>
                <w:rFonts w:ascii="Calibri" w:hAnsi="Calibri"/>
                <w:sz w:val="22"/>
              </w:rPr>
              <w:t>$1.59</w:t>
            </w:r>
          </w:p>
        </w:tc>
        <w:tc>
          <w:tcPr>
            <w:tcW w:type="dxa" w:w="1728"/>
          </w:tcPr>
          <w:p>
            <w:r>
              <w:rPr>
                <w:rFonts w:ascii="Calibri" w:hAnsi="Calibri"/>
                <w:b/>
                <w:color w:val="30A46C"/>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$1.67</w:t>
            </w:r>
          </w:p>
        </w:tc>
        <w:tc>
          <w:tcPr>
            <w:tcW w:type="dxa" w:w="1728"/>
          </w:tcPr>
          <w:p>
            <w:r>
              <w:rPr>
                <w:rFonts w:ascii="Calibri" w:hAnsi="Calibri"/>
                <w:sz w:val="22"/>
              </w:rPr>
              <w:t>$1.60</w:t>
            </w:r>
          </w:p>
        </w:tc>
        <w:tc>
          <w:tcPr>
            <w:tcW w:type="dxa" w:w="1728"/>
          </w:tcPr>
          <w:p>
            <w:r>
              <w:rPr>
                <w:rFonts w:ascii="Calibri" w:hAnsi="Calibri"/>
                <w:b/>
                <w:color w:val="30A46C"/>
                <w:sz w:val="22"/>
              </w:rPr>
              <w:t>+4.4%</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$1.74</w:t>
            </w:r>
          </w:p>
        </w:tc>
        <w:tc>
          <w:tcPr>
            <w:tcW w:type="dxa" w:w="1728"/>
          </w:tcPr>
          <w:p>
            <w:r>
              <w:rPr>
                <w:rFonts w:ascii="Calibri" w:hAnsi="Calibri"/>
                <w:sz w:val="22"/>
              </w:rPr>
              <w:t>$1.64</w:t>
            </w:r>
          </w:p>
        </w:tc>
        <w:tc>
          <w:tcPr>
            <w:tcW w:type="dxa" w:w="1728"/>
          </w:tcPr>
          <w:p>
            <w:r>
              <w:rPr>
                <w:rFonts w:ascii="Calibri" w:hAnsi="Calibri"/>
                <w:b/>
                <w:color w:val="30A46C"/>
                <w:sz w:val="22"/>
              </w:rPr>
              <w:t>+6.1%</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VRSK has beaten adjusted EPS consensus in all 8 of the last 8 quarters, with an average beat of ~5%. OCC growth has beaten in 6 of 8 quarters; the two misses (Q2 2024 and Q3 2025) were both driven by transactional revenue weakness. The consistent EPS beat pattern reflects strong operating leverage and buyback tailwinds, while OCC growth is the more volatile and market-moving metric.</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2026 guidance was reaffirmed in full at Q1 2026 earnings (April 29) and has not been revised since. </w:t>
      </w:r>
      <w:r>
        <w:rPr>
          <w:rFonts w:ascii="Calibri" w:hAnsi="Calibri"/>
          <w:b/>
          <w:color w:val="525866"/>
          <w:sz w:val="22"/>
        </w:rPr>
        <w:t>Management tone has been consistently constructive at post-earnings conferences</w:t>
      </w:r>
      <w:r>
        <w:rPr>
          <w:rFonts w:ascii="Calibri" w:hAnsi="Calibri"/>
          <w:color w:val="525866"/>
          <w:sz w:val="22"/>
        </w:rPr>
        <w:t>, emphasizing that Q1 was the trough, subscription growth is sustainable, and H2 will show a natural re-acceleration as the three known headwinds (weather carryover, tough renewal comps, government contract) roll off.</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Revenue (FY 2026)</w:t>
            </w:r>
          </w:p>
        </w:tc>
        <w:tc>
          <w:tcPr>
            <w:tcW w:type="dxa" w:w="1728"/>
          </w:tcPr>
          <w:p>
            <w:r>
              <w:rPr>
                <w:rFonts w:ascii="Calibri" w:hAnsi="Calibri"/>
                <w:sz w:val="22"/>
              </w:rPr>
              <w:t>$3.19B – $3.24B</w:t>
            </w:r>
          </w:p>
        </w:tc>
        <w:tc>
          <w:tcPr>
            <w:tcW w:type="dxa" w:w="1728"/>
          </w:tcPr>
          <w:p>
            <w:r>
              <w:rPr>
                <w:rFonts w:ascii="Calibri" w:hAnsi="Calibri"/>
                <w:sz w:val="22"/>
              </w:rPr>
              <w:t>—</w:t>
            </w:r>
          </w:p>
        </w:tc>
        <w:tc>
          <w:tcPr>
            <w:tcW w:type="dxa" w:w="1728"/>
          </w:tcPr>
          <w:p>
            <w:r>
              <w:rPr>
                <w:rFonts w:ascii="Calibri" w:hAnsi="Calibri"/>
                <w:sz w:val="22"/>
              </w:rPr>
              <w:t>$3.223B</w:t>
            </w:r>
          </w:p>
        </w:tc>
        <w:tc>
          <w:tcPr>
            <w:tcW w:type="dxa" w:w="1728"/>
          </w:tcPr>
          <w:p>
            <w:r>
              <w:rPr>
                <w:rFonts w:ascii="Calibri" w:hAnsi="Calibri"/>
                <w:sz w:val="22"/>
              </w:rPr>
              <w:t>Unchanged; reaffirmed at Q1 earnings. Consensus sits near midpoint.</w:t>
            </w:r>
          </w:p>
        </w:tc>
      </w:tr>
      <w:tr>
        <w:tc>
          <w:tcPr>
            <w:tcW w:type="dxa" w:w="1728"/>
          </w:tcPr>
          <w:p>
            <w:r>
              <w:rPr>
                <w:rFonts w:ascii="Calibri" w:hAnsi="Calibri"/>
                <w:sz w:val="22"/>
              </w:rPr>
              <w:t>Adj. EBITDA (FY 2026)</w:t>
            </w:r>
          </w:p>
        </w:tc>
        <w:tc>
          <w:tcPr>
            <w:tcW w:type="dxa" w:w="1728"/>
          </w:tcPr>
          <w:p>
            <w:r>
              <w:rPr>
                <w:rFonts w:ascii="Calibri" w:hAnsi="Calibri"/>
                <w:sz w:val="22"/>
              </w:rPr>
              <w:t>$1.79B – $1.83B</w:t>
            </w:r>
          </w:p>
        </w:tc>
        <w:tc>
          <w:tcPr>
            <w:tcW w:type="dxa" w:w="1728"/>
          </w:tcPr>
          <w:p>
            <w:r>
              <w:rPr>
                <w:rFonts w:ascii="Calibri" w:hAnsi="Calibri"/>
                <w:sz w:val="22"/>
              </w:rPr>
              <w:t>—</w:t>
            </w:r>
          </w:p>
        </w:tc>
        <w:tc>
          <w:tcPr>
            <w:tcW w:type="dxa" w:w="1728"/>
          </w:tcPr>
          <w:p>
            <w:r>
              <w:rPr>
                <w:rFonts w:ascii="Calibri" w:hAnsi="Calibri"/>
                <w:sz w:val="22"/>
              </w:rPr>
              <w:t>$1.818B</w:t>
            </w:r>
          </w:p>
        </w:tc>
        <w:tc>
          <w:tcPr>
            <w:tcW w:type="dxa" w:w="1728"/>
          </w:tcPr>
          <w:p>
            <w:r>
              <w:rPr>
                <w:rFonts w:ascii="Calibri" w:hAnsi="Calibri"/>
                <w:sz w:val="22"/>
              </w:rPr>
              <w:t>Unchanged; consensus near high end of range.</w:t>
            </w:r>
          </w:p>
        </w:tc>
      </w:tr>
      <w:tr>
        <w:tc>
          <w:tcPr>
            <w:tcW w:type="dxa" w:w="1728"/>
          </w:tcPr>
          <w:p>
            <w:r>
              <w:rPr>
                <w:rFonts w:ascii="Calibri" w:hAnsi="Calibri"/>
                <w:sz w:val="22"/>
              </w:rPr>
              <w:t>Adj. EBITDA Margin (FY 2026)</w:t>
            </w:r>
          </w:p>
        </w:tc>
        <w:tc>
          <w:tcPr>
            <w:tcW w:type="dxa" w:w="1728"/>
          </w:tcPr>
          <w:p>
            <w:r>
              <w:rPr>
                <w:rFonts w:ascii="Calibri" w:hAnsi="Calibri"/>
                <w:sz w:val="22"/>
              </w:rPr>
              <w:t>56.0% – 56.5%</w:t>
            </w:r>
          </w:p>
        </w:tc>
        <w:tc>
          <w:tcPr>
            <w:tcW w:type="dxa" w:w="1728"/>
          </w:tcPr>
          <w:p>
            <w:r>
              <w:rPr>
                <w:rFonts w:ascii="Calibri" w:hAnsi="Calibri"/>
                <w:sz w:val="22"/>
              </w:rPr>
              <w:t>—</w:t>
            </w:r>
          </w:p>
        </w:tc>
        <w:tc>
          <w:tcPr>
            <w:tcW w:type="dxa" w:w="1728"/>
          </w:tcPr>
          <w:p>
            <w:r>
              <w:rPr>
                <w:rFonts w:ascii="Calibri" w:hAnsi="Calibri"/>
                <w:sz w:val="22"/>
              </w:rPr>
              <w:t>~56.4%</w:t>
            </w:r>
          </w:p>
        </w:tc>
        <w:tc>
          <w:tcPr>
            <w:tcW w:type="dxa" w:w="1728"/>
          </w:tcPr>
          <w:p>
            <w:r>
              <w:rPr>
                <w:rFonts w:ascii="Calibri" w:hAnsi="Calibri"/>
                <w:sz w:val="22"/>
              </w:rPr>
              <w:t>Unchanged; consensus implies ~20 bps above midpoint.</w:t>
            </w:r>
          </w:p>
        </w:tc>
      </w:tr>
      <w:tr>
        <w:tc>
          <w:tcPr>
            <w:tcW w:type="dxa" w:w="1728"/>
          </w:tcPr>
          <w:p>
            <w:r>
              <w:rPr>
                <w:rFonts w:ascii="Calibri" w:hAnsi="Calibri"/>
                <w:sz w:val="22"/>
              </w:rPr>
              <w:t>Adj. EPS (FY 2026)</w:t>
            </w:r>
          </w:p>
        </w:tc>
        <w:tc>
          <w:tcPr>
            <w:tcW w:type="dxa" w:w="1728"/>
          </w:tcPr>
          <w:p>
            <w:r>
              <w:rPr>
                <w:rFonts w:ascii="Calibri" w:hAnsi="Calibri"/>
                <w:sz w:val="22"/>
              </w:rPr>
              <w:t>$7.45 – $7.75</w:t>
            </w:r>
          </w:p>
        </w:tc>
        <w:tc>
          <w:tcPr>
            <w:tcW w:type="dxa" w:w="1728"/>
          </w:tcPr>
          <w:p>
            <w:r>
              <w:rPr>
                <w:rFonts w:ascii="Calibri" w:hAnsi="Calibri"/>
                <w:sz w:val="22"/>
              </w:rPr>
              <w:t>—</w:t>
            </w:r>
          </w:p>
        </w:tc>
        <w:tc>
          <w:tcPr>
            <w:tcW w:type="dxa" w:w="1728"/>
          </w:tcPr>
          <w:p>
            <w:r>
              <w:rPr>
                <w:rFonts w:ascii="Calibri" w:hAnsi="Calibri"/>
                <w:sz w:val="22"/>
              </w:rPr>
              <w:t>$7.67</w:t>
            </w:r>
          </w:p>
        </w:tc>
        <w:tc>
          <w:tcPr>
            <w:tcW w:type="dxa" w:w="1728"/>
          </w:tcPr>
          <w:p>
            <w:r>
              <w:rPr>
                <w:rFonts w:ascii="Calibri" w:hAnsi="Calibri"/>
                <w:sz w:val="22"/>
              </w:rPr>
              <w:t>Unchanged; consensus above midpoint, reflecting buyback tailwind from $1.5B ASR.</w:t>
            </w:r>
          </w:p>
        </w:tc>
      </w:tr>
      <w:tr>
        <w:tc>
          <w:tcPr>
            <w:tcW w:type="dxa" w:w="1728"/>
          </w:tcPr>
          <w:p>
            <w:r>
              <w:rPr>
                <w:rFonts w:ascii="Calibri" w:hAnsi="Calibri"/>
                <w:sz w:val="22"/>
              </w:rPr>
              <w:t>OCC Revenue Growth (FY 2026)</w:t>
            </w:r>
          </w:p>
        </w:tc>
        <w:tc>
          <w:tcPr>
            <w:tcW w:type="dxa" w:w="1728"/>
          </w:tcPr>
          <w:p>
            <w:r>
              <w:rPr>
                <w:rFonts w:ascii="Calibri" w:hAnsi="Calibri"/>
                <w:sz w:val="22"/>
              </w:rPr>
              <w:t>6–8% LT target; Q2 may still fall below range</w:t>
            </w:r>
          </w:p>
        </w:tc>
        <w:tc>
          <w:tcPr>
            <w:tcW w:type="dxa" w:w="1728"/>
          </w:tcPr>
          <w:p>
            <w:r>
              <w:rPr>
                <w:rFonts w:ascii="Calibri" w:hAnsi="Calibri"/>
                <w:sz w:val="22"/>
              </w:rPr>
              <w:t>—</w:t>
            </w:r>
          </w:p>
        </w:tc>
        <w:tc>
          <w:tcPr>
            <w:tcW w:type="dxa" w:w="1728"/>
          </w:tcPr>
          <w:p>
            <w:r>
              <w:rPr>
                <w:rFonts w:ascii="Calibri" w:hAnsi="Calibri"/>
                <w:sz w:val="22"/>
              </w:rPr>
              <w:t>~6.1%</w:t>
            </w:r>
          </w:p>
        </w:tc>
        <w:tc>
          <w:tcPr>
            <w:tcW w:type="dxa" w:w="1728"/>
          </w:tcPr>
          <w:p>
            <w:r>
              <w:rPr>
                <w:rFonts w:ascii="Calibri" w:hAnsi="Calibri"/>
                <w:sz w:val="22"/>
              </w:rPr>
              <w:t>Management guided Q2 could still be below LT range; H2 re-acceleration expected.</w:t>
            </w:r>
          </w:p>
        </w:tc>
      </w:tr>
      <w:tr>
        <w:tc>
          <w:tcPr>
            <w:tcW w:type="dxa" w:w="1728"/>
          </w:tcPr>
          <w:p>
            <w:r>
              <w:rPr>
                <w:rFonts w:ascii="Calibri" w:hAnsi="Calibri"/>
                <w:sz w:val="22"/>
              </w:rPr>
              <w:t>CapEx (FY 2026)</w:t>
            </w:r>
          </w:p>
        </w:tc>
        <w:tc>
          <w:tcPr>
            <w:tcW w:type="dxa" w:w="1728"/>
          </w:tcPr>
          <w:p>
            <w:r>
              <w:rPr>
                <w:rFonts w:ascii="Calibri" w:hAnsi="Calibri"/>
                <w:sz w:val="22"/>
              </w:rPr>
              <w:t>$260M – $280M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prioritizing organic investment.</w:t>
            </w:r>
          </w:p>
        </w:tc>
      </w:tr>
      <w:tr>
        <w:tc>
          <w:tcPr>
            <w:tcW w:type="dxa" w:w="1728"/>
          </w:tcPr>
          <w:p>
            <w:r>
              <w:rPr>
                <w:rFonts w:ascii="Calibri" w:hAnsi="Calibri"/>
                <w:sz w:val="22"/>
              </w:rPr>
              <w:t>Interest Expense (FY 2026)</w:t>
            </w:r>
          </w:p>
        </w:tc>
        <w:tc>
          <w:tcPr>
            <w:tcW w:type="dxa" w:w="1728"/>
          </w:tcPr>
          <w:p>
            <w:r>
              <w:rPr>
                <w:rFonts w:ascii="Calibri" w:hAnsi="Calibri"/>
                <w:sz w:val="22"/>
              </w:rPr>
              <w:t>$190M – $200M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Reflects $1.5B ASR funded via $1B senior notes + $500M term loan.</w:t>
            </w:r>
          </w:p>
        </w:tc>
      </w:tr>
      <w:tr>
        <w:tc>
          <w:tcPr>
            <w:tcW w:type="dxa" w:w="1728"/>
          </w:tcPr>
          <w:p>
            <w:r>
              <w:rPr>
                <w:rFonts w:ascii="Calibri" w:hAnsi="Calibri"/>
                <w:sz w:val="22"/>
              </w:rPr>
              <w:t>Q2 2026 Margin Note</w:t>
            </w:r>
          </w:p>
        </w:tc>
        <w:tc>
          <w:tcPr>
            <w:tcW w:type="dxa" w:w="1728"/>
          </w:tcPr>
          <w:p>
            <w:r>
              <w:rPr>
                <w:rFonts w:ascii="Calibri" w:hAnsi="Calibri"/>
                <w:sz w:val="22"/>
              </w:rPr>
              <w:t>Prior year Q2 2025 margin included 120 bps FX benefit that will not recur</w:t>
            </w:r>
          </w:p>
        </w:tc>
        <w:tc>
          <w:tcPr>
            <w:tcW w:type="dxa" w:w="1728"/>
          </w:tcPr>
          <w:p>
            <w:r>
              <w:rPr>
                <w:rFonts w:ascii="Calibri" w:hAnsi="Calibri"/>
                <w:sz w:val="22"/>
              </w:rPr>
              <w:t>—</w:t>
            </w:r>
          </w:p>
        </w:tc>
        <w:tc>
          <w:tcPr>
            <w:tcW w:type="dxa" w:w="1728"/>
          </w:tcPr>
          <w:p>
            <w:r>
              <w:rPr>
                <w:rFonts w:ascii="Calibri" w:hAnsi="Calibri"/>
                <w:sz w:val="22"/>
              </w:rPr>
              <w:t>~56.8% est.</w:t>
            </w:r>
          </w:p>
        </w:tc>
        <w:tc>
          <w:tcPr>
            <w:tcW w:type="dxa" w:w="1728"/>
          </w:tcPr>
          <w:p>
            <w:r>
              <w:rPr>
                <w:rFonts w:ascii="Calibri" w:hAnsi="Calibri"/>
                <w:sz w:val="22"/>
              </w:rPr>
              <w:t>Tough YoY margin comp flagged by management at Q1 earnings.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and FY 2026 have moved modestly higher since the Q1 2026 earnings print, tracking management’s reaffirmed guidance. </w:t>
      </w:r>
      <w:r>
        <w:rPr>
          <w:rFonts w:ascii="Calibri" w:hAnsi="Calibri"/>
          <w:b/>
          <w:color w:val="525866"/>
          <w:sz w:val="22"/>
        </w:rPr>
        <w:t>The gap between consensus and guidance midpoints is narrow and positive</w:t>
      </w:r>
      <w:r>
        <w:rPr>
          <w:rFonts w:ascii="Calibri" w:hAnsi="Calibri"/>
          <w:color w:val="525866"/>
          <w:sz w:val="22"/>
        </w:rPr>
        <w:t xml:space="preserve"> — suggesting the street is aligned with management’s narrative rather than pricing in meaningful upside or downside. The estimate trajectory represents a cushion, not a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4,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$801.7M</w:t>
            </w:r>
          </w:p>
        </w:tc>
        <w:tc>
          <w:tcPr>
            <w:tcW w:type="dxa" w:w="1080"/>
          </w:tcPr>
          <w:p>
            <w:r>
              <w:rPr>
                <w:rFonts w:ascii="Calibri" w:hAnsi="Calibri"/>
                <w:sz w:val="22"/>
              </w:rPr>
              <w:t>$804.5M</w:t>
            </w:r>
          </w:p>
        </w:tc>
        <w:tc>
          <w:tcPr>
            <w:tcW w:type="dxa" w:w="1080"/>
          </w:tcPr>
          <w:p>
            <w:r>
              <w:rPr>
                <w:rFonts w:ascii="Calibri" w:hAnsi="Calibri"/>
                <w:b/>
                <w:color w:val="30A46C"/>
                <w:sz w:val="22"/>
              </w:rPr>
              <w:t>+0.3%</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$3,216M</w:t>
            </w:r>
          </w:p>
        </w:tc>
        <w:tc>
          <w:tcPr>
            <w:tcW w:type="dxa" w:w="1080"/>
          </w:tcPr>
          <w:p>
            <w:r>
              <w:rPr>
                <w:rFonts w:ascii="Calibri" w:hAnsi="Calibri"/>
                <w:sz w:val="22"/>
              </w:rPr>
              <w:t>$3,223M</w:t>
            </w:r>
          </w:p>
        </w:tc>
        <w:tc>
          <w:tcPr>
            <w:tcW w:type="dxa" w:w="1080"/>
          </w:tcPr>
          <w:p>
            <w:r>
              <w:rPr>
                <w:rFonts w:ascii="Calibri" w:hAnsi="Calibri"/>
                <w:b/>
                <w:color w:val="30A46C"/>
                <w:sz w:val="22"/>
              </w:rPr>
              <w:t>+0.2%</w:t>
            </w:r>
          </w:p>
        </w:tc>
        <w:tc>
          <w:tcPr>
            <w:tcW w:type="dxa" w:w="1080"/>
          </w:tcPr>
          <w:p>
            <w:r>
              <w:rPr>
                <w:rFonts w:ascii="Calibri" w:hAnsi="Calibri"/>
                <w:sz w:val="22"/>
              </w:rPr>
              <w:t>$3,190–$3,240M</w:t>
            </w:r>
          </w:p>
        </w:tc>
        <w:tc>
          <w:tcPr>
            <w:tcW w:type="dxa" w:w="1080"/>
          </w:tcPr>
          <w:p>
            <w:r>
              <w:rPr>
                <w:rFonts w:ascii="Calibri" w:hAnsi="Calibri"/>
                <w:sz w:val="22"/>
              </w:rPr>
              <w:t>$3,190–$3,240M (unchanged)</w:t>
            </w:r>
          </w:p>
        </w:tc>
        <w:tc>
          <w:tcPr>
            <w:tcW w:type="dxa" w:w="1080"/>
          </w:tcPr>
          <w:p>
            <w:r>
              <w:rPr>
                <w:rFonts w:ascii="Calibri" w:hAnsi="Calibri"/>
                <w:sz w:val="22"/>
              </w:rPr>
              <w:t>0%</w:t>
            </w:r>
          </w:p>
        </w:tc>
        <w:tc>
          <w:tcPr>
            <w:tcW w:type="dxa" w:w="1080"/>
          </w:tcPr>
          <w:p>
            <w:r>
              <w:rPr>
                <w:rFonts w:ascii="Calibri" w:hAnsi="Calibri"/>
                <w:sz w:val="22"/>
              </w:rPr>
              <w:t>+0.2% vs. mid</w:t>
            </w:r>
          </w:p>
        </w:tc>
      </w:tr>
      <w:tr>
        <w:tc>
          <w:tcPr>
            <w:tcW w:type="dxa" w:w="1080"/>
          </w:tcPr>
          <w:p>
            <w:r>
              <w:rPr>
                <w:rFonts w:ascii="Calibri" w:hAnsi="Calibri"/>
                <w:sz w:val="22"/>
              </w:rPr>
              <w:t>OCC Growth — Q2 2026</w:t>
            </w:r>
          </w:p>
        </w:tc>
        <w:tc>
          <w:tcPr>
            <w:tcW w:type="dxa" w:w="1080"/>
          </w:tcPr>
          <w:p>
            <w:r>
              <w:rPr>
                <w:rFonts w:ascii="Calibri" w:hAnsi="Calibri"/>
                <w:sz w:val="22"/>
              </w:rPr>
              <w:t>5.27%</w:t>
            </w:r>
          </w:p>
        </w:tc>
        <w:tc>
          <w:tcPr>
            <w:tcW w:type="dxa" w:w="1080"/>
          </w:tcPr>
          <w:p>
            <w:r>
              <w:rPr>
                <w:rFonts w:ascii="Calibri" w:hAnsi="Calibri"/>
                <w:sz w:val="22"/>
              </w:rPr>
              <w:t>5.35%</w:t>
            </w:r>
          </w:p>
        </w:tc>
        <w:tc>
          <w:tcPr>
            <w:tcW w:type="dxa" w:w="1080"/>
          </w:tcPr>
          <w:p>
            <w:r>
              <w:rPr>
                <w:rFonts w:ascii="Calibri" w:hAnsi="Calibri"/>
                <w:b/>
                <w:color w:val="30A46C"/>
                <w:sz w:val="22"/>
              </w:rPr>
              <w:t>+8 bps</w:t>
            </w:r>
          </w:p>
        </w:tc>
        <w:tc>
          <w:tcPr>
            <w:tcW w:type="dxa" w:w="1080"/>
          </w:tcPr>
          <w:p>
            <w:r>
              <w:rPr>
                <w:rFonts w:ascii="Calibri" w:hAnsi="Calibri"/>
                <w:sz w:val="22"/>
              </w:rPr>
              <w:t>Below LT 6–8% range</w:t>
            </w:r>
          </w:p>
        </w:tc>
        <w:tc>
          <w:tcPr>
            <w:tcW w:type="dxa" w:w="1080"/>
          </w:tcPr>
          <w:p>
            <w:r>
              <w:rPr>
                <w:rFonts w:ascii="Calibri" w:hAnsi="Calibri"/>
                <w:sz w:val="22"/>
              </w:rPr>
              <w:t>Below LT 6–8% range (unchanged)</w:t>
            </w:r>
          </w:p>
        </w:tc>
        <w:tc>
          <w:tcPr>
            <w:tcW w:type="dxa" w:w="1080"/>
          </w:tcPr>
          <w:p>
            <w:r>
              <w:rPr>
                <w:rFonts w:ascii="Calibri" w:hAnsi="Calibri"/>
                <w:sz w:val="22"/>
              </w:rPr>
              <w:t>0%</w:t>
            </w:r>
          </w:p>
        </w:tc>
        <w:tc>
          <w:tcPr>
            <w:tcW w:type="dxa" w:w="1080"/>
          </w:tcPr>
          <w:p>
            <w:r>
              <w:rPr>
                <w:rFonts w:ascii="Calibri" w:hAnsi="Calibri"/>
                <w:sz w:val="22"/>
              </w:rPr>
              <w:t>In line</w:t>
            </w:r>
          </w:p>
        </w:tc>
      </w:tr>
      <w:tr>
        <w:tc>
          <w:tcPr>
            <w:tcW w:type="dxa" w:w="1080"/>
          </w:tcPr>
          <w:p>
            <w:r>
              <w:rPr>
                <w:rFonts w:ascii="Calibri" w:hAnsi="Calibri"/>
                <w:sz w:val="22"/>
              </w:rPr>
              <w:t>OCC Growth — FY 2026</w:t>
            </w:r>
          </w:p>
        </w:tc>
        <w:tc>
          <w:tcPr>
            <w:tcW w:type="dxa" w:w="1080"/>
          </w:tcPr>
          <w:p>
            <w:r>
              <w:rPr>
                <w:rFonts w:ascii="Calibri" w:hAnsi="Calibri"/>
                <w:sz w:val="22"/>
              </w:rPr>
              <w:t>6.11%</w:t>
            </w:r>
          </w:p>
        </w:tc>
        <w:tc>
          <w:tcPr>
            <w:tcW w:type="dxa" w:w="1080"/>
          </w:tcPr>
          <w:p>
            <w:r>
              <w:rPr>
                <w:rFonts w:ascii="Calibri" w:hAnsi="Calibri"/>
                <w:sz w:val="22"/>
              </w:rPr>
              <w:t>6.13%</w:t>
            </w:r>
          </w:p>
        </w:tc>
        <w:tc>
          <w:tcPr>
            <w:tcW w:type="dxa" w:w="1080"/>
          </w:tcPr>
          <w:p>
            <w:r>
              <w:rPr>
                <w:rFonts w:ascii="Calibri" w:hAnsi="Calibri"/>
                <w:b/>
                <w:color w:val="30A46C"/>
                <w:sz w:val="22"/>
              </w:rPr>
              <w:t>+2 bps</w:t>
            </w:r>
          </w:p>
        </w:tc>
        <w:tc>
          <w:tcPr>
            <w:tcW w:type="dxa" w:w="1080"/>
          </w:tcPr>
          <w:p>
            <w:r>
              <w:rPr>
                <w:rFonts w:ascii="Calibri" w:hAnsi="Calibri"/>
                <w:sz w:val="22"/>
              </w:rPr>
              <w:t>6–8% LT target</w:t>
            </w:r>
          </w:p>
        </w:tc>
        <w:tc>
          <w:tcPr>
            <w:tcW w:type="dxa" w:w="1080"/>
          </w:tcPr>
          <w:p>
            <w:r>
              <w:rPr>
                <w:rFonts w:ascii="Calibri" w:hAnsi="Calibri"/>
                <w:sz w:val="22"/>
              </w:rPr>
              <w:t>6–8% LT target (unchanged)</w:t>
            </w:r>
          </w:p>
        </w:tc>
        <w:tc>
          <w:tcPr>
            <w:tcW w:type="dxa" w:w="1080"/>
          </w:tcPr>
          <w:p>
            <w:r>
              <w:rPr>
                <w:rFonts w:ascii="Calibri" w:hAnsi="Calibri"/>
                <w:sz w:val="22"/>
              </w:rPr>
              <w:t>0%</w:t>
            </w:r>
          </w:p>
        </w:tc>
        <w:tc>
          <w:tcPr>
            <w:tcW w:type="dxa" w:w="1080"/>
          </w:tcPr>
          <w:p>
            <w:r>
              <w:rPr>
                <w:rFonts w:ascii="Calibri" w:hAnsi="Calibri"/>
                <w:sz w:val="22"/>
              </w:rPr>
              <w:t>At low end of range</w:t>
            </w:r>
          </w:p>
        </w:tc>
      </w:tr>
      <w:tr>
        <w:tc>
          <w:tcPr>
            <w:tcW w:type="dxa" w:w="1080"/>
          </w:tcPr>
          <w:p>
            <w:r>
              <w:rPr>
                <w:rFonts w:ascii="Calibri" w:hAnsi="Calibri"/>
                <w:sz w:val="22"/>
              </w:rPr>
              <w:t>Adj. EBITDA — Q2 2026</w:t>
            </w:r>
          </w:p>
        </w:tc>
        <w:tc>
          <w:tcPr>
            <w:tcW w:type="dxa" w:w="1080"/>
          </w:tcPr>
          <w:p>
            <w:r>
              <w:rPr>
                <w:rFonts w:ascii="Calibri" w:hAnsi="Calibri"/>
                <w:sz w:val="22"/>
              </w:rPr>
              <w:t>$454.4M</w:t>
            </w:r>
          </w:p>
        </w:tc>
        <w:tc>
          <w:tcPr>
            <w:tcW w:type="dxa" w:w="1080"/>
          </w:tcPr>
          <w:p>
            <w:r>
              <w:rPr>
                <w:rFonts w:ascii="Calibri" w:hAnsi="Calibri"/>
                <w:sz w:val="22"/>
              </w:rPr>
              <w:t>$456.9M</w:t>
            </w:r>
          </w:p>
        </w:tc>
        <w:tc>
          <w:tcPr>
            <w:tcW w:type="dxa" w:w="1080"/>
          </w:tcPr>
          <w:p>
            <w:r>
              <w:rPr>
                <w:rFonts w:ascii="Calibri" w:hAnsi="Calibri"/>
                <w:b/>
                <w:color w:val="30A46C"/>
                <w:sz w:val="22"/>
              </w:rPr>
              <w:t>+0.6%</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 FY 2026</w:t>
            </w:r>
          </w:p>
        </w:tc>
        <w:tc>
          <w:tcPr>
            <w:tcW w:type="dxa" w:w="1080"/>
          </w:tcPr>
          <w:p>
            <w:r>
              <w:rPr>
                <w:rFonts w:ascii="Calibri" w:hAnsi="Calibri"/>
                <w:sz w:val="22"/>
              </w:rPr>
              <w:t>$1,809M</w:t>
            </w:r>
          </w:p>
        </w:tc>
        <w:tc>
          <w:tcPr>
            <w:tcW w:type="dxa" w:w="1080"/>
          </w:tcPr>
          <w:p>
            <w:r>
              <w:rPr>
                <w:rFonts w:ascii="Calibri" w:hAnsi="Calibri"/>
                <w:sz w:val="22"/>
              </w:rPr>
              <w:t>$1,818M</w:t>
            </w:r>
          </w:p>
        </w:tc>
        <w:tc>
          <w:tcPr>
            <w:tcW w:type="dxa" w:w="1080"/>
          </w:tcPr>
          <w:p>
            <w:r>
              <w:rPr>
                <w:rFonts w:ascii="Calibri" w:hAnsi="Calibri"/>
                <w:b/>
                <w:color w:val="30A46C"/>
                <w:sz w:val="22"/>
              </w:rPr>
              <w:t>+0.5%</w:t>
            </w:r>
          </w:p>
        </w:tc>
        <w:tc>
          <w:tcPr>
            <w:tcW w:type="dxa" w:w="1080"/>
          </w:tcPr>
          <w:p>
            <w:r>
              <w:rPr>
                <w:rFonts w:ascii="Calibri" w:hAnsi="Calibri"/>
                <w:sz w:val="22"/>
              </w:rPr>
              <w:t>$1,790–$1,830M</w:t>
            </w:r>
          </w:p>
        </w:tc>
        <w:tc>
          <w:tcPr>
            <w:tcW w:type="dxa" w:w="1080"/>
          </w:tcPr>
          <w:p>
            <w:r>
              <w:rPr>
                <w:rFonts w:ascii="Calibri" w:hAnsi="Calibri"/>
                <w:sz w:val="22"/>
              </w:rPr>
              <w:t>$1,790–$1,830M (unchanged)</w:t>
            </w:r>
          </w:p>
        </w:tc>
        <w:tc>
          <w:tcPr>
            <w:tcW w:type="dxa" w:w="1080"/>
          </w:tcPr>
          <w:p>
            <w:r>
              <w:rPr>
                <w:rFonts w:ascii="Calibri" w:hAnsi="Calibri"/>
                <w:sz w:val="22"/>
              </w:rPr>
              <w:t>0%</w:t>
            </w:r>
          </w:p>
        </w:tc>
        <w:tc>
          <w:tcPr>
            <w:tcW w:type="dxa" w:w="1080"/>
          </w:tcPr>
          <w:p>
            <w:r>
              <w:rPr>
                <w:rFonts w:ascii="Calibri" w:hAnsi="Calibri"/>
                <w:sz w:val="22"/>
              </w:rPr>
              <w:t>+0.4% vs. mid</w:t>
            </w:r>
          </w:p>
        </w:tc>
      </w:tr>
      <w:tr>
        <w:tc>
          <w:tcPr>
            <w:tcW w:type="dxa" w:w="1080"/>
          </w:tcPr>
          <w:p>
            <w:r>
              <w:rPr>
                <w:rFonts w:ascii="Calibri" w:hAnsi="Calibri"/>
                <w:sz w:val="22"/>
              </w:rPr>
              <w:t>Adj. EPS — Q2 2026</w:t>
            </w:r>
          </w:p>
        </w:tc>
        <w:tc>
          <w:tcPr>
            <w:tcW w:type="dxa" w:w="1080"/>
          </w:tcPr>
          <w:p>
            <w:r>
              <w:rPr>
                <w:rFonts w:ascii="Calibri" w:hAnsi="Calibri"/>
                <w:sz w:val="22"/>
              </w:rPr>
              <w:t>$1.92</w:t>
            </w:r>
          </w:p>
        </w:tc>
        <w:tc>
          <w:tcPr>
            <w:tcW w:type="dxa" w:w="1080"/>
          </w:tcPr>
          <w:p>
            <w:r>
              <w:rPr>
                <w:rFonts w:ascii="Calibri" w:hAnsi="Calibri"/>
                <w:sz w:val="22"/>
              </w:rPr>
              <w:t>$1.93</w:t>
            </w:r>
          </w:p>
        </w:tc>
        <w:tc>
          <w:tcPr>
            <w:tcW w:type="dxa" w:w="1080"/>
          </w:tcPr>
          <w:p>
            <w:r>
              <w:rPr>
                <w:rFonts w:ascii="Calibri" w:hAnsi="Calibri"/>
                <w:b/>
                <w:color w:val="30A46C"/>
                <w:sz w:val="22"/>
              </w:rPr>
              <w:t>+0.6%</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$7.65</w:t>
            </w:r>
          </w:p>
        </w:tc>
        <w:tc>
          <w:tcPr>
            <w:tcW w:type="dxa" w:w="1080"/>
          </w:tcPr>
          <w:p>
            <w:r>
              <w:rPr>
                <w:rFonts w:ascii="Calibri" w:hAnsi="Calibri"/>
                <w:sz w:val="22"/>
              </w:rPr>
              <w:t>$7.67</w:t>
            </w:r>
          </w:p>
        </w:tc>
        <w:tc>
          <w:tcPr>
            <w:tcW w:type="dxa" w:w="1080"/>
          </w:tcPr>
          <w:p>
            <w:r>
              <w:rPr>
                <w:rFonts w:ascii="Calibri" w:hAnsi="Calibri"/>
                <w:b/>
                <w:color w:val="30A46C"/>
                <w:sz w:val="22"/>
              </w:rPr>
              <w:t>+0.3%</w:t>
            </w:r>
          </w:p>
        </w:tc>
        <w:tc>
          <w:tcPr>
            <w:tcW w:type="dxa" w:w="1080"/>
          </w:tcPr>
          <w:p>
            <w:r>
              <w:rPr>
                <w:rFonts w:ascii="Calibri" w:hAnsi="Calibri"/>
                <w:sz w:val="22"/>
              </w:rPr>
              <w:t>$7.45–$7.75</w:t>
            </w:r>
          </w:p>
        </w:tc>
        <w:tc>
          <w:tcPr>
            <w:tcW w:type="dxa" w:w="1080"/>
          </w:tcPr>
          <w:p>
            <w:r>
              <w:rPr>
                <w:rFonts w:ascii="Calibri" w:hAnsi="Calibri"/>
                <w:sz w:val="22"/>
              </w:rPr>
              <w:t>$7.45–$7.75 (unchanged)</w:t>
            </w:r>
          </w:p>
        </w:tc>
        <w:tc>
          <w:tcPr>
            <w:tcW w:type="dxa" w:w="1080"/>
          </w:tcPr>
          <w:p>
            <w:r>
              <w:rPr>
                <w:rFonts w:ascii="Calibri" w:hAnsi="Calibri"/>
                <w:sz w:val="22"/>
              </w:rPr>
              <w:t>0%</w:t>
            </w:r>
          </w:p>
        </w:tc>
        <w:tc>
          <w:tcPr>
            <w:tcW w:type="dxa" w:w="1080"/>
          </w:tcPr>
          <w:p>
            <w:r>
              <w:rPr>
                <w:rFonts w:ascii="Calibri" w:hAnsi="Calibri"/>
                <w:sz w:val="22"/>
              </w:rPr>
              <w:t>+0.9% vs. mid</w:t>
            </w:r>
          </w:p>
        </w:tc>
      </w:tr>
    </w:tbl>
    <w:p>
      <w:r>
        <w:rPr>
          <w:rFonts w:ascii="Calibri" w:hAnsi="Calibri"/>
          <w:i/>
          <w:color w:val="525866"/>
          <w:sz w:val="22"/>
        </w:rPr>
        <w:t>Estimates have drifted modestly higher across all KPIs since the Q1 2026 print, with FY 2026 consensus now sitting slightly above guidance midpoints on revenue, EBITDA, and EPS. This reflects the street’s confidence in the H2 re-acceleration narrative and the buyback tailwind from the $1.5B ASR. The lack of any downward revision since Q1 is a positive signal heading into Q2.</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VRSK has significantly outperformed its sector proxy (SPGI) since Q1 2026 earnings, </w:t>
      </w:r>
      <w:r>
        <w:rPr>
          <w:rFonts w:ascii="Calibri" w:hAnsi="Calibri"/>
          <w:b/>
          <w:color w:val="525866"/>
          <w:sz w:val="22"/>
        </w:rPr>
        <w:t>rallying ~12.8% vs. SPGI down ~2.0%</w:t>
      </w:r>
      <w:r>
        <w:rPr>
          <w:rFonts w:ascii="Calibri" w:hAnsi="Calibri"/>
          <w:color w:val="525866"/>
          <w:sz w:val="22"/>
        </w:rPr>
        <w:t xml:space="preserve"> — driven by the Q1 beat, guidance reaffirmation, and growing confidence in the H2 re-acceleration. The stock has re-rated higher on improving fundamentals, meaning the bar for Q2 is now higher than it was three months ago.</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VRSK vs. SPGI (Sector Proxy) — Indexed to 100 at Q1 2026 Earnings (Apr 29, 2026). Sector ETF: SPGI (S&amp;P Global) used as a financial data/analytics sector proxy given VRSK’s data analytics business model. Source: Stock Price Data.</w:t>
      </w:r>
    </w:p>
    <w:p>
      <w:pPr>
        <w:pStyle w:val="ListBullet"/>
        <w:ind w:left="360" w:hanging="360"/>
      </w:pPr>
      <w:r>
        <w:rPr>
          <w:rFonts w:ascii="Calibri" w:hAnsi="Calibri"/>
          <w:b/>
          <w:color w:val="525866"/>
          <w:sz w:val="22"/>
        </w:rPr>
        <w:t xml:space="preserve">Earnings Day (Apr 29, 2026): </w:t>
      </w:r>
      <w:r>
        <w:rPr>
          <w:rFonts w:ascii="Calibri" w:hAnsi="Calibri"/>
          <w:color w:val="525866"/>
          <w:sz w:val="22"/>
        </w:rPr>
        <w:t>VRSK surged +6.5% on the Q1 2026 earnings day (from $176.66 prior close to $188.19), reflecting the beat on both revenue and EPS and the reaffirmation of full-year guidance.</w:t>
      </w:r>
    </w:p>
    <w:p>
      <w:pPr>
        <w:pStyle w:val="ListBullet"/>
        <w:ind w:left="360" w:hanging="360"/>
      </w:pPr>
      <w:r>
        <w:rPr>
          <w:rFonts w:ascii="Calibri" w:hAnsi="Calibri"/>
          <w:b/>
          <w:color w:val="525866"/>
          <w:sz w:val="22"/>
        </w:rPr>
        <w:t xml:space="preserve">Post-Earnings Drift (May): </w:t>
      </w:r>
      <w:r>
        <w:rPr>
          <w:rFonts w:ascii="Calibri" w:hAnsi="Calibri"/>
          <w:color w:val="525866"/>
          <w:sz w:val="22"/>
        </w:rPr>
        <w:t>The stock pulled back from the initial pop, declining to a low of ~$156.84 on May 14 as broader market weakness weighed on the name. This represented a ~16.7% drawdown from the earnings-day close.</w:t>
      </w:r>
    </w:p>
    <w:p>
      <w:pPr>
        <w:pStyle w:val="ListBullet"/>
        <w:ind w:left="360" w:hanging="360"/>
      </w:pPr>
      <w:r>
        <w:rPr>
          <w:rFonts w:ascii="Calibri" w:hAnsi="Calibri"/>
          <w:b/>
          <w:color w:val="525866"/>
          <w:sz w:val="22"/>
        </w:rPr>
        <w:t xml:space="preserve">Recovery (Late May – July): </w:t>
      </w:r>
      <w:r>
        <w:rPr>
          <w:rFonts w:ascii="Calibri" w:hAnsi="Calibri"/>
          <w:color w:val="525866"/>
          <w:sz w:val="22"/>
        </w:rPr>
        <w:t>VRSK recovered strongly through June and July, reaching $212.26 by July 28 — a new post-earnings high. The recovery was driven by improving macro sentiment, conference commentary reinforcing the H2 re-acceleration thesis, and the broader market rally.</w:t>
      </w:r>
    </w:p>
    <w:p>
      <w:pPr>
        <w:pStyle w:val="ListBullet"/>
        <w:ind w:left="360" w:hanging="360"/>
      </w:pPr>
      <w:r>
        <w:rPr>
          <w:rFonts w:ascii="Calibri" w:hAnsi="Calibri"/>
          <w:b/>
          <w:color w:val="525866"/>
          <w:sz w:val="22"/>
        </w:rPr>
        <w:t xml:space="preserve">CIO Departure (Jul 28, 2026): </w:t>
      </w:r>
      <w:r>
        <w:rPr>
          <w:rFonts w:ascii="Calibri" w:hAnsi="Calibri"/>
          <w:color w:val="525866"/>
          <w:sz w:val="22"/>
        </w:rPr>
        <w:t>Verisk filed an 8-K disclosing that CIO Nick Daffan will depart effective August 3, transitioning to a Strategic Advisor role through year-end. CTO Jeff Negrete will serve as interim CIO. The stock was up on the day of the filing, suggesting the market viewed this as a non-event.</w:t>
      </w:r>
    </w:p>
    <w:p>
      <w:pPr>
        <w:pStyle w:val="ListBullet"/>
        <w:ind w:left="360" w:hanging="360"/>
      </w:pPr>
      <w:r>
        <w:rPr>
          <w:rFonts w:ascii="Calibri" w:hAnsi="Calibri"/>
          <w:b/>
          <w:color w:val="525866"/>
          <w:sz w:val="22"/>
        </w:rPr>
        <w:t xml:space="preserve">Sector Context: </w:t>
      </w:r>
      <w:r>
        <w:rPr>
          <w:rFonts w:ascii="Calibri" w:hAnsi="Calibri"/>
          <w:color w:val="525866"/>
          <w:sz w:val="22"/>
        </w:rPr>
        <w:t>SPGI declined ~2.0% over the same period, making VRSK’s ~12.8% gain a ~1,480 bps outperformance. The divergence reflects VRSK-specific fundamental improvement rather than sector tailwinds.</w:t>
      </w:r>
    </w:p>
    <w:p>
      <w:r>
        <w:br w:type="page"/>
      </w:r>
    </w:p>
    <w:p>
      <w:pPr>
        <w:pStyle w:val="Heading2"/>
      </w:pPr>
      <w:r>
        <w:rPr>
          <w:rFonts w:ascii="Calibri" w:hAnsi="Calibri"/>
          <w:b/>
          <w:color w:val="3B4259"/>
          <w:sz w:val="28"/>
        </w:rPr>
        <w:t>6. Peer Commentaries — Read-Through</w:t>
      </w:r>
    </w:p>
    <w:p>
      <w:r>
        <w:rPr>
          <w:rFonts w:ascii="Calibri" w:hAnsi="Calibri"/>
          <w:b/>
          <w:color w:val="525866"/>
          <w:sz w:val="22"/>
        </w:rPr>
        <w:t xml:space="preserve">Key Takeaway: </w:t>
      </w:r>
      <w:r>
        <w:rPr>
          <w:rFonts w:ascii="Calibri" w:hAnsi="Calibri"/>
          <w:color w:val="525866"/>
          <w:sz w:val="22"/>
        </w:rPr>
        <w:t xml:space="preserve">Peer commentary from EFX and TRU in Q2 2026 is broadly constructive for VRSK — </w:t>
      </w:r>
      <w:r>
        <w:rPr>
          <w:rFonts w:ascii="Calibri" w:hAnsi="Calibri"/>
          <w:b/>
          <w:color w:val="525866"/>
          <w:sz w:val="22"/>
        </w:rPr>
        <w:t>insurance vertical demand is robust (TRU: 8th straight quarter of double-digit insurance growth), data analytics spending is accelerating, and AI is driving incremental data consumption rather than displacing incumbents</w:t>
      </w:r>
      <w:r>
        <w:rPr>
          <w:rFonts w:ascii="Calibri" w:hAnsi="Calibri"/>
          <w:color w:val="525866"/>
          <w:sz w:val="22"/>
        </w:rPr>
        <w:t>. The soft P&amp;C market cycle is not a headwind to data spending; if anything, carriers are leaning into analytics as underwriting discipline becomes more critical.</w:t>
      </w:r>
    </w:p>
    <w:p>
      <w:pPr>
        <w:pStyle w:val="Heading3"/>
      </w:pPr>
      <w:r>
        <w:rPr>
          <w:rFonts w:ascii="Calibri" w:hAnsi="Calibri"/>
          <w:b/>
          <w:color w:val="3B4259"/>
          <w:sz w:val="24"/>
        </w:rPr>
        <w:t>TransUnion (TRU) — Q2 2026 Earnings (July 28, 2026)</w:t>
      </w:r>
    </w:p>
    <w:p>
      <w:r>
        <w:rPr>
          <w:rFonts w:ascii="Calibri" w:hAnsi="Calibri"/>
          <w:i/>
          <w:color w:val="525866"/>
          <w:sz w:val="22"/>
        </w:rPr>
        <w:t>Relevance: TRU serves P&amp;C insurers within its Emerging Verticals segment (~30% of ~$1.3B emerging verticals revenue). Its insurance vertical is a direct read-through on carrier data spending appetite.</w:t>
      </w:r>
    </w:p>
    <w:p>
      <w:pPr>
        <w:pStyle w:val="ListBullet"/>
        <w:ind w:left="360" w:hanging="360"/>
      </w:pPr>
      <w:r>
        <w:rPr>
          <w:rFonts w:ascii="Calibri" w:hAnsi="Calibri"/>
          <w:b/>
          <w:color w:val="525866"/>
          <w:sz w:val="22"/>
        </w:rPr>
        <w:t xml:space="preserve">Insurance demand remains exceptionally strong: </w:t>
      </w:r>
      <w:r>
        <w:rPr>
          <w:rFonts w:ascii="Calibri" w:hAnsi="Calibri"/>
          <w:color w:val="525866"/>
          <w:sz w:val="22"/>
        </w:rPr>
        <w:t xml:space="preserve">TRU reported its </w:t>
      </w:r>
      <w:r>
        <w:rPr>
          <w:rFonts w:ascii="Calibri" w:hAnsi="Calibri"/>
          <w:b/>
          <w:color w:val="525866"/>
          <w:sz w:val="22"/>
        </w:rPr>
        <w:t>8th consecutive quarter of double-digit growth in insurance</w:t>
      </w:r>
      <w:r>
        <w:rPr>
          <w:rFonts w:ascii="Calibri" w:hAnsi="Calibri"/>
          <w:color w:val="525866"/>
          <w:sz w:val="22"/>
        </w:rPr>
        <w:t xml:space="preserve"> in Q2 2026, with emerging verticals growing 9% overall. The company cited “robust demand across our solutions suites” within insurance, with credit-based marketing continuing to strengthen and consumer shopping remaining active. This is a direct positive read-through for VRSK’s underwriting data and analytics business.</w:t>
      </w:r>
    </w:p>
    <w:p>
      <w:pPr>
        <w:pStyle w:val="ListBullet"/>
        <w:ind w:left="360" w:hanging="360"/>
      </w:pPr>
      <w:r>
        <w:rPr>
          <w:rFonts w:ascii="Calibri" w:hAnsi="Calibri"/>
          <w:b/>
          <w:color w:val="525866"/>
          <w:sz w:val="22"/>
        </w:rPr>
        <w:t xml:space="preserve">AI is a data demand accelerator, not a disruptor: </w:t>
      </w:r>
      <w:r>
        <w:rPr>
          <w:rFonts w:ascii="Calibri" w:hAnsi="Calibri"/>
          <w:color w:val="525866"/>
          <w:sz w:val="22"/>
        </w:rPr>
        <w:t>TRU explicitly stated that “AI will increase demand for proprietary data analytics and decisioning capabilities” and that “AI-enlightened customers tend to consume more data.” The company noted that AI-enabled customers refresh risk models more frequently (monthly vs. annually), driving higher data consumption. This validates VRSK’s thesis that AI expands the value and utilization of its proprietary data sets.</w:t>
      </w:r>
    </w:p>
    <w:p>
      <w:pPr>
        <w:pStyle w:val="ListBullet"/>
        <w:ind w:left="360" w:hanging="360"/>
      </w:pPr>
      <w:r>
        <w:rPr>
          <w:rFonts w:ascii="Calibri" w:hAnsi="Calibri"/>
          <w:b/>
          <w:color w:val="525866"/>
          <w:sz w:val="22"/>
        </w:rPr>
        <w:t xml:space="preserve">Strong Q2 beat and raised full-year guidance: </w:t>
      </w:r>
      <w:r>
        <w:rPr>
          <w:rFonts w:ascii="Calibri" w:hAnsi="Calibri"/>
          <w:color w:val="525866"/>
          <w:sz w:val="22"/>
        </w:rPr>
        <w:t>TRU reported 10% organic constant currency revenue growth in Q2 2026, above its 8–9% guidance, marking its 10th straight quarter of at least high-single-digit growth. Full-year 2026 guidance was raised to 8–9% OCC growth. The broad-based strength across financial services and emerging verticals suggests healthy end-market conditions for data and analytics providers.</w:t>
      </w:r>
    </w:p>
    <w:p>
      <w:pPr>
        <w:pStyle w:val="ListBullet"/>
        <w:ind w:left="360" w:hanging="360"/>
      </w:pPr>
      <w:r>
        <w:rPr>
          <w:rFonts w:ascii="Calibri" w:hAnsi="Calibri"/>
          <w:b/>
          <w:color w:val="525866"/>
          <w:sz w:val="22"/>
        </w:rPr>
        <w:t xml:space="preserve">Insurance market recovery is complete: </w:t>
      </w:r>
      <w:r>
        <w:rPr>
          <w:rFonts w:ascii="Calibri" w:hAnsi="Calibri"/>
          <w:color w:val="525866"/>
          <w:sz w:val="22"/>
        </w:rPr>
        <w:t>At the Baird conference (June 2), TRU’s CFO noted that insurance marketing activity is “almost fully recovered” after the 2022–2023 pullback driven by high inflation and underwriting retrenchment. Carriers have achieved rate adequacy and “come back to market.” This is consistent with VRSK’s own commentary that the soft market environment is supportive of technology investment demand.</w:t>
      </w:r>
    </w:p>
    <w:p>
      <w:pPr>
        <w:pStyle w:val="Heading3"/>
      </w:pPr>
      <w:r>
        <w:rPr>
          <w:rFonts w:ascii="Calibri" w:hAnsi="Calibri"/>
          <w:b/>
          <w:color w:val="3B4259"/>
          <w:sz w:val="24"/>
        </w:rPr>
        <w:t>TransUnion (TRU) — Baird Global Consumer, Tech &amp; Services Conference (June 2, 2026)</w:t>
      </w:r>
    </w:p>
    <w:p>
      <w:r>
        <w:rPr>
          <w:rFonts w:ascii="Calibri" w:hAnsi="Calibri"/>
          <w:i/>
          <w:color w:val="525866"/>
          <w:sz w:val="22"/>
        </w:rPr>
        <w:t>Relevance: CFO Todd Cello provided detailed commentary on the insurance vertical and Q2 2026 trajectory as of mid-May.</w:t>
      </w:r>
    </w:p>
    <w:p>
      <w:pPr>
        <w:pStyle w:val="ListBullet"/>
        <w:ind w:left="360" w:hanging="360"/>
      </w:pPr>
      <w:r>
        <w:rPr>
          <w:rFonts w:ascii="Calibri" w:hAnsi="Calibri"/>
          <w:b/>
          <w:color w:val="525866"/>
          <w:sz w:val="22"/>
        </w:rPr>
        <w:t xml:space="preserve">Q2 2026 tracking at or above guidance: </w:t>
      </w:r>
      <w:r>
        <w:rPr>
          <w:rFonts w:ascii="Calibri" w:hAnsi="Calibri"/>
          <w:color w:val="525866"/>
          <w:sz w:val="22"/>
        </w:rPr>
        <w:t>As of mid-May, TRU’s CFO stated that “volumes that we talked about on the earnings call at the end of April have continued at that same level,” and that if volumes held, TRU expected to be “at the high end of our guidance or above.” This early-quarter read-through suggests healthy data demand conditions in Q2 2026 that would benefit VRSK.</w:t>
      </w:r>
    </w:p>
    <w:p>
      <w:pPr>
        <w:pStyle w:val="ListBullet"/>
        <w:ind w:left="360" w:hanging="360"/>
      </w:pPr>
      <w:r>
        <w:rPr>
          <w:rFonts w:ascii="Calibri" w:hAnsi="Calibri"/>
          <w:b/>
          <w:color w:val="525866"/>
          <w:sz w:val="22"/>
        </w:rPr>
        <w:t xml:space="preserve">Insurance vertical is ~30% of $1.3B emerging verticals: </w:t>
      </w:r>
      <w:r>
        <w:rPr>
          <w:rFonts w:ascii="Calibri" w:hAnsi="Calibri"/>
          <w:color w:val="525866"/>
          <w:sz w:val="22"/>
        </w:rPr>
        <w:t>TRU’s insurance business (serving P&amp;C insurers) had “snapped back quite nicely” as insurers achieved rate adequacy. Marketing activity in insurance is “almost fully recovered.” This confirms the demand environment VRSK has been describing — carriers with ample capital and profitability are investing in data and technology.</w:t>
      </w:r>
    </w:p>
    <w:p>
      <w:pPr>
        <w:pStyle w:val="ListBullet"/>
        <w:ind w:left="360" w:hanging="360"/>
      </w:pPr>
      <w:r>
        <w:rPr>
          <w:rFonts w:ascii="Calibri" w:hAnsi="Calibri"/>
          <w:b/>
          <w:color w:val="525866"/>
          <w:sz w:val="22"/>
        </w:rPr>
        <w:t xml:space="preserve">AI customers consume more data: </w:t>
      </w:r>
      <w:r>
        <w:rPr>
          <w:rFonts w:ascii="Calibri" w:hAnsi="Calibri"/>
          <w:color w:val="525866"/>
          <w:sz w:val="22"/>
        </w:rPr>
        <w:t>TRU noted that its “most AI-enabled or most AI-resourced customers consume more TransUnion data,” with model refresh cycles accelerating from annual/biennial to monthly. This is a direct read-through for VRSK’s AI monetization thesis — AI adoption by carriers should drive incremental demand for VRSK’s proprietary data sets.</w:t>
      </w:r>
    </w:p>
    <w:p>
      <w:pPr>
        <w:pStyle w:val="Heading3"/>
      </w:pPr>
      <w:r>
        <w:rPr>
          <w:rFonts w:ascii="Calibri" w:hAnsi="Calibri"/>
          <w:b/>
          <w:color w:val="3B4259"/>
          <w:sz w:val="24"/>
        </w:rPr>
        <w:t>TransUnion (TRU) — Bernstein Strategic Decisions Conference (May 27, 2026)</w:t>
      </w:r>
    </w:p>
    <w:p>
      <w:r>
        <w:rPr>
          <w:rFonts w:ascii="Calibri" w:hAnsi="Calibri"/>
          <w:i/>
          <w:color w:val="525866"/>
          <w:sz w:val="22"/>
        </w:rPr>
        <w:t>Relevance: CEO Chris Cartwright provided a comprehensive view on the competitive moat of proprietary data in an AI world and Q2 2026 trajectory.</w:t>
      </w:r>
    </w:p>
    <w:p>
      <w:pPr>
        <w:pStyle w:val="ListBullet"/>
        <w:ind w:left="360" w:hanging="360"/>
      </w:pPr>
      <w:r>
        <w:rPr>
          <w:rFonts w:ascii="Calibri" w:hAnsi="Calibri"/>
          <w:b/>
          <w:color w:val="525866"/>
          <w:sz w:val="22"/>
        </w:rPr>
        <w:t xml:space="preserve">Business tracking in line with guidance through late May: </w:t>
      </w:r>
      <w:r>
        <w:rPr>
          <w:rFonts w:ascii="Calibri" w:hAnsi="Calibri"/>
          <w:color w:val="525866"/>
          <w:sz w:val="22"/>
        </w:rPr>
        <w:t>TRU’s CEO stated that through April and May, business performance was “completely consistent with how we’ve been guiding investors year-to-date” and that if market volumes held, TRU would “expect to overperform the high end of the guide to some degree.” This is a positive read-through for Q2 data demand conditions.</w:t>
      </w:r>
    </w:p>
    <w:p>
      <w:pPr>
        <w:pStyle w:val="ListBullet"/>
        <w:ind w:left="360" w:hanging="360"/>
      </w:pPr>
      <w:r>
        <w:rPr>
          <w:rFonts w:ascii="Calibri" w:hAnsi="Calibri"/>
          <w:b/>
          <w:color w:val="525866"/>
          <w:sz w:val="22"/>
        </w:rPr>
        <w:t xml:space="preserve">Proprietary data moats are defensible against AI disruption: </w:t>
      </w:r>
      <w:r>
        <w:rPr>
          <w:rFonts w:ascii="Calibri" w:hAnsi="Calibri"/>
          <w:color w:val="525866"/>
          <w:sz w:val="22"/>
        </w:rPr>
        <w:t>TRU’s CEO articulated that generative AI cannot access proprietary credit, fraud, and marketing data because it “principally gets this information by crawling the Internet.” The barriers to entry — tens of thousands of data relationships, legal permissible use requirements, and regulatory frameworks — create a “very large and defensible moat.” This directly validates VRSK’s competitive positioning argument that its proprietary insurance data sets are not replicable by AI-native competitors.</w:t>
      </w:r>
    </w:p>
    <w:p>
      <w:pPr>
        <w:pStyle w:val="ListBullet"/>
        <w:ind w:left="360" w:hanging="360"/>
      </w:pPr>
      <w:r>
        <w:rPr>
          <w:rFonts w:ascii="Calibri" w:hAnsi="Calibri"/>
          <w:b/>
          <w:color w:val="525866"/>
          <w:sz w:val="22"/>
        </w:rPr>
        <w:t xml:space="preserve">AI drives proactive, higher-frequency data servicing: </w:t>
      </w:r>
      <w:r>
        <w:rPr>
          <w:rFonts w:ascii="Calibri" w:hAnsi="Calibri"/>
          <w:color w:val="525866"/>
          <w:sz w:val="22"/>
        </w:rPr>
        <w:t>TRU described AI as enabling a shift from “reactive” to “proactive” client servicing, with predictive models built in “a fraction of the time” and analytics consulting organizations “orders of magnitude more productive.” This is consistent with VRSK’s own narrative that AI expands the use cases and value of its data sets.</w:t>
      </w:r>
    </w:p>
    <w:p>
      <w:pPr>
        <w:pStyle w:val="Heading3"/>
      </w:pPr>
      <w:r>
        <w:rPr>
          <w:rFonts w:ascii="Calibri" w:hAnsi="Calibri"/>
          <w:b/>
          <w:color w:val="3B4259"/>
          <w:sz w:val="24"/>
        </w:rPr>
        <w:t>Equifax (EFX) — Q2 2026 Earnings (July 21, 2026)</w:t>
      </w:r>
    </w:p>
    <w:p>
      <w:r>
        <w:rPr>
          <w:rFonts w:ascii="Calibri" w:hAnsi="Calibri"/>
          <w:i/>
          <w:color w:val="525866"/>
          <w:sz w:val="22"/>
        </w:rPr>
        <w:t>Relevance: EFX is a data analytics peer serving financial services and insurance. Its Q2 2026 results and commentary on AI, data demand, and the macro environment are relevant read-throughs.</w:t>
      </w:r>
    </w:p>
    <w:p>
      <w:pPr>
        <w:pStyle w:val="ListBullet"/>
        <w:ind w:left="360" w:hanging="360"/>
      </w:pPr>
      <w:r>
        <w:rPr>
          <w:rFonts w:ascii="Calibri" w:hAnsi="Calibri"/>
          <w:b/>
          <w:color w:val="525866"/>
          <w:sz w:val="22"/>
        </w:rPr>
        <w:t xml:space="preserve">Strong Q2 beat with raised constant-currency guidance: </w:t>
      </w:r>
      <w:r>
        <w:rPr>
          <w:rFonts w:ascii="Calibri" w:hAnsi="Calibri"/>
          <w:color w:val="525866"/>
          <w:sz w:val="22"/>
        </w:rPr>
        <w:t>EFX reported Q2 2026 revenue of $1.7B, up 11% reported / 10% constant currency, $5M above guidance midpoint. EPS of $2.25 was up 13% and $0.05 above guidance. Full-year guidance was held unchanged on a reported basis but raised on a constant-currency basis. The broad-based beat across diversified markets and mortgage suggests healthy data demand conditions in Q2 2026.</w:t>
      </w:r>
    </w:p>
    <w:p>
      <w:pPr>
        <w:pStyle w:val="ListBullet"/>
        <w:ind w:left="360" w:hanging="360"/>
      </w:pPr>
      <w:r>
        <w:rPr>
          <w:rFonts w:ascii="Calibri" w:hAnsi="Calibri"/>
          <w:b/>
          <w:color w:val="525866"/>
          <w:sz w:val="22"/>
        </w:rPr>
        <w:t xml:space="preserve">Insurance showing ‘increasing and improving growth’: </w:t>
      </w:r>
      <w:r>
        <w:rPr>
          <w:rFonts w:ascii="Calibri" w:hAnsi="Calibri"/>
          <w:color w:val="525866"/>
          <w:sz w:val="22"/>
        </w:rPr>
        <w:t>EFX specifically called out “increasing and improving growth in insurance” within its USIS online segment in Q2 2026. While EFX’s insurance exposure is different from VRSK’s (credit-based insurance analytics vs. P&amp;C underwriting data), the directional signal is positive for insurance carrier data spending.</w:t>
      </w:r>
    </w:p>
    <w:p>
      <w:pPr>
        <w:pStyle w:val="ListBullet"/>
        <w:ind w:left="360" w:hanging="360"/>
      </w:pPr>
      <w:r>
        <w:rPr>
          <w:rFonts w:ascii="Calibri" w:hAnsi="Calibri"/>
          <w:b/>
          <w:color w:val="525866"/>
          <w:sz w:val="22"/>
        </w:rPr>
        <w:t xml:space="preserve">AI is accelerating data demand and productivity: </w:t>
      </w:r>
      <w:r>
        <w:rPr>
          <w:rFonts w:ascii="Calibri" w:hAnsi="Calibri"/>
          <w:color w:val="525866"/>
          <w:sz w:val="22"/>
        </w:rPr>
        <w:t>EFX doubled its “AI for FX” productivity goal from $75M to $150M for 2026–2028, reflecting rapid AI adoption. The company noted that its cloud-native architecture gives it a “real competitive advantage in this AI world” — a parallel to VRSK’s own AI positioning. EFX’s 54 new AI-embedded products in H1 2026 and 16% Vitality Index signal that AI is driving product innovation and revenue growth, not displacement.</w:t>
      </w:r>
    </w:p>
    <w:p>
      <w:pPr>
        <w:pStyle w:val="ListBullet"/>
        <w:ind w:left="360" w:hanging="360"/>
      </w:pPr>
      <w:r>
        <w:rPr>
          <w:rFonts w:ascii="Calibri" w:hAnsi="Calibri"/>
          <w:b/>
          <w:color w:val="525866"/>
          <w:sz w:val="22"/>
        </w:rPr>
        <w:t xml:space="preserve">Proprietary data moat is the key AI differentiator: </w:t>
      </w:r>
      <w:r>
        <w:rPr>
          <w:rFonts w:ascii="Calibri" w:hAnsi="Calibri"/>
          <w:color w:val="525866"/>
          <w:sz w:val="22"/>
        </w:rPr>
        <w:t>EFX highlighted that “slightly over 90% of our revenue comes from proprietary data” that is not accessible to public AI sources like OpenAI or Anthropic. This mirrors VRSK’s own data moat argument and reinforces the thesis that proprietary data incumbents are beneficiaries, not victims, of the AI wave.</w:t>
      </w:r>
    </w:p>
    <w:p>
      <w:pPr>
        <w:pStyle w:val="Heading3"/>
      </w:pPr>
      <w:r>
        <w:rPr>
          <w:rFonts w:ascii="Calibri" w:hAnsi="Calibri"/>
          <w:b/>
          <w:color w:val="3B4259"/>
          <w:sz w:val="24"/>
        </w:rPr>
        <w:t>Equifax (EFX) — William Blair Growth Stock Conference (June 3, 2026)</w:t>
      </w:r>
    </w:p>
    <w:p>
      <w:r>
        <w:rPr>
          <w:rFonts w:ascii="Calibri" w:hAnsi="Calibri"/>
          <w:i/>
          <w:color w:val="525866"/>
          <w:sz w:val="22"/>
        </w:rPr>
        <w:t>Relevance: EFX CEO Mark Begor and CFO John Gamble provided detailed commentary on AI strategy, data moats, and the Q2 2026 environment.</w:t>
      </w:r>
    </w:p>
    <w:p>
      <w:pPr>
        <w:pStyle w:val="ListBullet"/>
        <w:ind w:left="360" w:hanging="360"/>
      </w:pPr>
      <w:r>
        <w:rPr>
          <w:rFonts w:ascii="Calibri" w:hAnsi="Calibri"/>
          <w:b/>
          <w:color w:val="525866"/>
          <w:sz w:val="22"/>
        </w:rPr>
        <w:t xml:space="preserve">Q2 2026 environment described as ‘stable but muted’ outside mortgage: </w:t>
      </w:r>
      <w:r>
        <w:rPr>
          <w:rFonts w:ascii="Calibri" w:hAnsi="Calibri"/>
          <w:color w:val="525866"/>
          <w:sz w:val="22"/>
        </w:rPr>
        <w:t>EFX described the current environment as “stable, but muted” outside the mortgage sector, with low unemployment as a positive factor. EFX beat Q1 2026 and was tracking well into Q2. This is a broadly neutral-to-positive read-through for VRSK’s subscription-driven business, which is less sensitive to macro cycles.</w:t>
      </w:r>
    </w:p>
    <w:p>
      <w:pPr>
        <w:pStyle w:val="ListBullet"/>
        <w:ind w:left="360" w:hanging="360"/>
      </w:pPr>
      <w:r>
        <w:rPr>
          <w:rFonts w:ascii="Calibri" w:hAnsi="Calibri"/>
          <w:b/>
          <w:color w:val="525866"/>
          <w:sz w:val="22"/>
        </w:rPr>
        <w:t xml:space="preserve">AI is driving higher-performing products and margin expansion: </w:t>
      </w:r>
      <w:r>
        <w:rPr>
          <w:rFonts w:ascii="Calibri" w:hAnsi="Calibri"/>
          <w:color w:val="525866"/>
          <w:sz w:val="22"/>
        </w:rPr>
        <w:t>EFX increased its margin expansion guidance from 50 bps to 75 bps for 2026, driven by AI productivity gains. The company noted “1,000 basis points of performance lift” in KS scores from AI-enhanced models. This validates the broader industry trend that AI is enhancing the value of proprietary data analytics, which is VRSK’s core value proposition.</w:t>
      </w:r>
    </w:p>
    <w:p>
      <w:pPr>
        <w:pStyle w:val="ListBullet"/>
        <w:ind w:left="360" w:hanging="360"/>
      </w:pPr>
      <w:r>
        <w:rPr>
          <w:rFonts w:ascii="Calibri" w:hAnsi="Calibri"/>
          <w:b/>
          <w:color w:val="525866"/>
          <w:sz w:val="22"/>
        </w:rPr>
        <w:t xml:space="preserve">Long-term revenue framework of 7–10% organic growth: </w:t>
      </w:r>
      <w:r>
        <w:rPr>
          <w:rFonts w:ascii="Calibri" w:hAnsi="Calibri"/>
          <w:color w:val="525866"/>
          <w:sz w:val="22"/>
        </w:rPr>
        <w:t>EFX reiterated its long-term organic revenue growth target of 7–10%, with the company “at the higher end of that this year.” The Vitality Index (% of revenue from new products) was 17% in Q1 2026, well above the 10% target. This signals that data analytics companies with strong proprietary data and AI capabilities are sustaining premium growth rates.</w:t>
      </w:r>
    </w:p>
    <w:p>
      <w:pPr>
        <w:pStyle w:val="Heading3"/>
      </w:pPr>
      <w:r>
        <w:rPr>
          <w:rFonts w:ascii="Calibri" w:hAnsi="Calibri"/>
          <w:b/>
          <w:color w:val="3B4259"/>
          <w:sz w:val="24"/>
        </w:rPr>
        <w:t>VRSK Own Conference Commentary — William Blair (June 2) &amp; Bernstein (May 28, 2026)</w:t>
      </w:r>
    </w:p>
    <w:p>
      <w:r>
        <w:rPr>
          <w:rFonts w:ascii="Calibri" w:hAnsi="Calibri"/>
          <w:i/>
          <w:color w:val="525866"/>
          <w:sz w:val="22"/>
        </w:rPr>
        <w:t>Relevance: Management’s own post-Q1 conference commentary provides the most direct read-through on Q2 2026 trajectory and strategic positioning.</w:t>
      </w:r>
    </w:p>
    <w:p>
      <w:pPr>
        <w:pStyle w:val="ListBullet"/>
        <w:ind w:left="360" w:hanging="360"/>
      </w:pPr>
      <w:r>
        <w:rPr>
          <w:rFonts w:ascii="Calibri" w:hAnsi="Calibri"/>
          <w:b/>
          <w:color w:val="525866"/>
          <w:sz w:val="22"/>
        </w:rPr>
        <w:t xml:space="preserve">Q2 2026 momentum confirmed: </w:t>
      </w:r>
      <w:r>
        <w:rPr>
          <w:rFonts w:ascii="Calibri" w:hAnsi="Calibri"/>
          <w:color w:val="525866"/>
          <w:sz w:val="22"/>
        </w:rPr>
        <w:t>At the Bernstein conference (May 28), CEO Lee Shavel stated “we’re expecting continued momentum into the second quarter” and that Q3 and Q4 “should show a recovery to our 2026 overall growth rate.” He characterized the improvement as “a natural revelation of the underlying growth” as the three exogenous headwinds (weather, government contract, tough renewal comps) work through the system.</w:t>
      </w:r>
    </w:p>
    <w:p>
      <w:pPr>
        <w:pStyle w:val="ListBullet"/>
        <w:ind w:left="360" w:hanging="360"/>
      </w:pPr>
      <w:r>
        <w:rPr>
          <w:rFonts w:ascii="Calibri" w:hAnsi="Calibri"/>
          <w:b/>
          <w:color w:val="525866"/>
          <w:sz w:val="22"/>
        </w:rPr>
        <w:t xml:space="preserve">Subscription renewal trends remain strong: </w:t>
      </w:r>
      <w:r>
        <w:rPr>
          <w:rFonts w:ascii="Calibri" w:hAnsi="Calibri"/>
          <w:color w:val="525866"/>
          <w:sz w:val="22"/>
        </w:rPr>
        <w:t>At the William Blair conference (June 2), management highlighted a “consistent renewal trend of renewal of our multiyear agreements at or longer than the last renewal” over the last 12 months on all major renewals, with price increases reflecting Core Lines Reimagine value delivery. This is a direct positive signal for Q2 subscription revenue.</w:t>
      </w:r>
    </w:p>
    <w:p>
      <w:pPr>
        <w:pStyle w:val="ListBullet"/>
        <w:ind w:left="360" w:hanging="360"/>
      </w:pPr>
      <w:r>
        <w:rPr>
          <w:rFonts w:ascii="Calibri" w:hAnsi="Calibri"/>
          <w:b/>
          <w:color w:val="525866"/>
          <w:sz w:val="22"/>
        </w:rPr>
        <w:t xml:space="preserve">AI monetization pathway is becoming concrete: </w:t>
      </w:r>
      <w:r>
        <w:rPr>
          <w:rFonts w:ascii="Calibri" w:hAnsi="Calibri"/>
          <w:color w:val="525866"/>
          <w:sz w:val="22"/>
        </w:rPr>
        <w:t>Management described frontier AI model companies as a “distribution channel” for VRSK’s data sets, with two MCP connectors launched inside Anthropic’s Claude (Verisk Underwriting Intelligence and XactRestore) currently on free trial with plans to price over time. The company is also co-developing an agentic AI underwriting platform with a major global insurer and working with a client on Neurosymbolic AI — a more deterministic, auditable form of AI preferred by regulators.</w:t>
      </w:r>
    </w:p>
    <w:p>
      <w:pPr>
        <w:pStyle w:val="ListBullet"/>
        <w:ind w:left="360" w:hanging="360"/>
      </w:pPr>
      <w:r>
        <w:rPr>
          <w:rFonts w:ascii="Calibri" w:hAnsi="Calibri"/>
          <w:b/>
          <w:color w:val="525866"/>
          <w:sz w:val="22"/>
        </w:rPr>
        <w:t xml:space="preserve">Soft market cycle is not a headwind: </w:t>
      </w:r>
      <w:r>
        <w:rPr>
          <w:rFonts w:ascii="Calibri" w:hAnsi="Calibri"/>
          <w:color w:val="525866"/>
          <w:sz w:val="22"/>
        </w:rPr>
        <w:t>At Bernstein, management reiterated that VRSK’s organic growth in soft markets (6.8%) vs. hard markets (7.3%) is only ~50 bps different — “both round to 7%.” In soft markets, “data sets become more valuable” as carriers lean into underwriting discipline and risk selection. This directly addresses the bear case that softening P&amp;C pricing would hurt VRSK.</w:t>
      </w:r>
    </w:p>
    <w:p>
      <w:pPr>
        <w:pStyle w:val="ListBullet"/>
        <w:ind w:left="360" w:hanging="360"/>
      </w:pPr>
      <w:r>
        <w:rPr>
          <w:rFonts w:ascii="Calibri" w:hAnsi="Calibri"/>
          <w:b/>
          <w:color w:val="525866"/>
          <w:sz w:val="22"/>
        </w:rPr>
        <w:t xml:space="preserve">Synergy Studio and E&amp;S expansion on track: </w:t>
      </w:r>
      <w:r>
        <w:rPr>
          <w:rFonts w:ascii="Calibri" w:hAnsi="Calibri"/>
          <w:color w:val="525866"/>
          <w:sz w:val="22"/>
        </w:rPr>
        <w:t>Management confirmed at William Blair that Synergy Studio (next-gen cloud-native catastrophe modeling platform) was on track for production release in June 2026, and that the excess and surplus (E&amp;S) lines contributory data program now has contributions representing more than $15B in premium. Both represent incremental growth vectors beyond the core subscription business.</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Peer Signal</w:t>
            </w:r>
          </w:p>
        </w:tc>
        <w:tc>
          <w:tcPr>
            <w:tcW w:type="dxa" w:w="2880"/>
            <w:shd w:val="clear" w:color="auto" w:fill="3B4259"/>
          </w:tcPr>
          <w:p>
            <w:r>
              <w:rPr>
                <w:rFonts w:ascii="Calibri" w:hAnsi="Calibri"/>
                <w:b/>
                <w:color w:val="FFFFFF"/>
                <w:sz w:val="22"/>
              </w:rPr>
              <w:t>VRSK Implication</w:t>
            </w:r>
          </w:p>
        </w:tc>
      </w:tr>
      <w:tr>
        <w:tc>
          <w:tcPr>
            <w:tcW w:type="dxa" w:w="2880"/>
          </w:tcPr>
          <w:p>
            <w:r>
              <w:rPr>
                <w:rFonts w:ascii="Calibri" w:hAnsi="Calibri"/>
                <w:sz w:val="22"/>
              </w:rPr>
              <w:t>Insurance data demand</w:t>
            </w:r>
          </w:p>
        </w:tc>
        <w:tc>
          <w:tcPr>
            <w:tcW w:type="dxa" w:w="2880"/>
          </w:tcPr>
          <w:p>
            <w:r>
              <w:rPr>
                <w:rFonts w:ascii="Calibri" w:hAnsi="Calibri"/>
                <w:sz w:val="22"/>
              </w:rPr>
              <w:t>TRU: 8th straight quarter of double-digit insurance growth; EFX: “increasing and improving growth in insurance”</w:t>
            </w:r>
          </w:p>
        </w:tc>
        <w:tc>
          <w:tcPr>
            <w:tcW w:type="dxa" w:w="2880"/>
          </w:tcPr>
          <w:p>
            <w:r>
              <w:rPr>
                <w:rFonts w:ascii="Calibri" w:hAnsi="Calibri"/>
                <w:b/>
                <w:color w:val="30A46C"/>
                <w:sz w:val="22"/>
              </w:rPr>
              <w:t>Positive — carrier data spending is robust and accelerating</w:t>
            </w:r>
          </w:p>
        </w:tc>
      </w:tr>
      <w:tr>
        <w:tc>
          <w:tcPr>
            <w:tcW w:type="dxa" w:w="2880"/>
          </w:tcPr>
          <w:p>
            <w:r>
              <w:rPr>
                <w:rFonts w:ascii="Calibri" w:hAnsi="Calibri"/>
                <w:sz w:val="22"/>
              </w:rPr>
              <w:t>AI &amp; data demand</w:t>
            </w:r>
          </w:p>
        </w:tc>
        <w:tc>
          <w:tcPr>
            <w:tcW w:type="dxa" w:w="2880"/>
          </w:tcPr>
          <w:p>
            <w:r>
              <w:rPr>
                <w:rFonts w:ascii="Calibri" w:hAnsi="Calibri"/>
                <w:sz w:val="22"/>
              </w:rPr>
              <w:t>TRU &amp; EFX: AI-enabled customers consume more data; model refresh cycles accelerating</w:t>
            </w:r>
          </w:p>
        </w:tc>
        <w:tc>
          <w:tcPr>
            <w:tcW w:type="dxa" w:w="2880"/>
          </w:tcPr>
          <w:p>
            <w:r>
              <w:rPr>
                <w:rFonts w:ascii="Calibri" w:hAnsi="Calibri"/>
                <w:b/>
                <w:color w:val="30A46C"/>
                <w:sz w:val="22"/>
              </w:rPr>
              <w:t>Positive — validates VRSK’s AI monetization thesis</w:t>
            </w:r>
          </w:p>
        </w:tc>
      </w:tr>
      <w:tr>
        <w:tc>
          <w:tcPr>
            <w:tcW w:type="dxa" w:w="2880"/>
          </w:tcPr>
          <w:p>
            <w:r>
              <w:rPr>
                <w:rFonts w:ascii="Calibri" w:hAnsi="Calibri"/>
                <w:sz w:val="22"/>
              </w:rPr>
              <w:t>Proprietary data moats</w:t>
            </w:r>
          </w:p>
        </w:tc>
        <w:tc>
          <w:tcPr>
            <w:tcW w:type="dxa" w:w="2880"/>
          </w:tcPr>
          <w:p>
            <w:r>
              <w:rPr>
                <w:rFonts w:ascii="Calibri" w:hAnsi="Calibri"/>
                <w:sz w:val="22"/>
              </w:rPr>
              <w:t>TRU &amp; EFX: Proprietary data is not accessible to public AI; barriers to entry are high</w:t>
            </w:r>
          </w:p>
        </w:tc>
        <w:tc>
          <w:tcPr>
            <w:tcW w:type="dxa" w:w="2880"/>
          </w:tcPr>
          <w:p>
            <w:r>
              <w:rPr>
                <w:rFonts w:ascii="Calibri" w:hAnsi="Calibri"/>
                <w:b/>
                <w:color w:val="30A46C"/>
                <w:sz w:val="22"/>
              </w:rPr>
              <w:t>Positive — reinforces VRSK’s competitive positioning</w:t>
            </w:r>
          </w:p>
        </w:tc>
      </w:tr>
      <w:tr>
        <w:tc>
          <w:tcPr>
            <w:tcW w:type="dxa" w:w="2880"/>
          </w:tcPr>
          <w:p>
            <w:r>
              <w:rPr>
                <w:rFonts w:ascii="Calibri" w:hAnsi="Calibri"/>
                <w:sz w:val="22"/>
              </w:rPr>
              <w:t>Macro / end-market</w:t>
            </w:r>
          </w:p>
        </w:tc>
        <w:tc>
          <w:tcPr>
            <w:tcW w:type="dxa" w:w="2880"/>
          </w:tcPr>
          <w:p>
            <w:r>
              <w:rPr>
                <w:rFonts w:ascii="Calibri" w:hAnsi="Calibri"/>
                <w:sz w:val="22"/>
              </w:rPr>
              <w:t>EFX: “Stable but muted” outside mortgage; TRU: Healthy volumes through May</w:t>
            </w:r>
          </w:p>
        </w:tc>
        <w:tc>
          <w:tcPr>
            <w:tcW w:type="dxa" w:w="2880"/>
          </w:tcPr>
          <w:p>
            <w:r>
              <w:rPr>
                <w:rFonts w:ascii="Calibri" w:hAnsi="Calibri"/>
                <w:sz w:val="22"/>
              </w:rPr>
              <w:t>Neutral — no macro headwinds for VRSK’s subscription business</w:t>
            </w:r>
          </w:p>
        </w:tc>
      </w:tr>
      <w:tr>
        <w:tc>
          <w:tcPr>
            <w:tcW w:type="dxa" w:w="2880"/>
          </w:tcPr>
          <w:p>
            <w:r>
              <w:rPr>
                <w:rFonts w:ascii="Calibri" w:hAnsi="Calibri"/>
                <w:sz w:val="22"/>
              </w:rPr>
              <w:t>Soft P&amp;C market cycle</w:t>
            </w:r>
          </w:p>
        </w:tc>
        <w:tc>
          <w:tcPr>
            <w:tcW w:type="dxa" w:w="2880"/>
          </w:tcPr>
          <w:p>
            <w:r>
              <w:rPr>
                <w:rFonts w:ascii="Calibri" w:hAnsi="Calibri"/>
                <w:sz w:val="22"/>
              </w:rPr>
              <w:t>TRU: Insurance marketing “almost fully recovered”; carriers back to market</w:t>
            </w:r>
          </w:p>
        </w:tc>
        <w:tc>
          <w:tcPr>
            <w:tcW w:type="dxa" w:w="2880"/>
          </w:tcPr>
          <w:p>
            <w:r>
              <w:rPr>
                <w:rFonts w:ascii="Calibri" w:hAnsi="Calibri"/>
                <w:b/>
                <w:color w:val="30A46C"/>
                <w:sz w:val="22"/>
              </w:rPr>
              <w:t>Positive — soft market drives underwriting discipline and data demand</w:t>
            </w:r>
          </w:p>
        </w:tc>
      </w:tr>
      <w:tr>
        <w:tc>
          <w:tcPr>
            <w:tcW w:type="dxa" w:w="2880"/>
          </w:tcPr>
          <w:p>
            <w:r>
              <w:rPr>
                <w:rFonts w:ascii="Calibri" w:hAnsi="Calibri"/>
                <w:sz w:val="22"/>
              </w:rPr>
              <w:t>Q2 2026 trajectory</w:t>
            </w:r>
          </w:p>
        </w:tc>
        <w:tc>
          <w:tcPr>
            <w:tcW w:type="dxa" w:w="2880"/>
          </w:tcPr>
          <w:p>
            <w:r>
              <w:rPr>
                <w:rFonts w:ascii="Calibri" w:hAnsi="Calibri"/>
                <w:sz w:val="22"/>
              </w:rPr>
              <w:t>TRU: Tracking at/above guidance through May; EFX: Beat Q2 by $5M on revenue</w:t>
            </w:r>
          </w:p>
        </w:tc>
        <w:tc>
          <w:tcPr>
            <w:tcW w:type="dxa" w:w="2880"/>
          </w:tcPr>
          <w:p>
            <w:r>
              <w:rPr>
                <w:rFonts w:ascii="Calibri" w:hAnsi="Calibri"/>
                <w:b/>
                <w:color w:val="30A46C"/>
                <w:sz w:val="22"/>
              </w:rPr>
              <w:t>Positive — healthy data demand environment in Q2 2026</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material development since Q1 2026 earnings is the </w:t>
      </w:r>
      <w:r>
        <w:rPr>
          <w:rFonts w:ascii="Calibri" w:hAnsi="Calibri"/>
          <w:b/>
          <w:color w:val="525866"/>
          <w:sz w:val="22"/>
        </w:rPr>
        <w:t>CIO departure (July 27, 2026)</w:t>
      </w:r>
      <w:r>
        <w:rPr>
          <w:rFonts w:ascii="Calibri" w:hAnsi="Calibri"/>
          <w:color w:val="525866"/>
          <w:sz w:val="22"/>
        </w:rPr>
        <w:t>, which is a modest negative signal given VRSK’s AI-heavy strategy, though the transition to interim CIO (CTO Jeff Negrete) and the framing as a planned transition mitigates the concern. Operationally, the period has been characterized by positive strategic developments — Synergy Studio launch, MCP connector rollout, and strong conference commentary.</w:t>
      </w:r>
    </w:p>
    <w:p>
      <w:pPr>
        <w:pStyle w:val="ListBullet"/>
        <w:ind w:left="360" w:hanging="360"/>
      </w:pPr>
      <w:r>
        <w:rPr>
          <w:rFonts w:ascii="Calibri" w:hAnsi="Calibri"/>
          <w:b/>
          <w:color w:val="525866"/>
          <w:sz w:val="22"/>
        </w:rPr>
        <w:t xml:space="preserve">July 27, 2026 — CIO Nick Daffan to Depart (8-K): </w:t>
      </w:r>
      <w:r>
        <w:rPr>
          <w:rFonts w:ascii="Calibri" w:hAnsi="Calibri"/>
          <w:color w:val="525866"/>
          <w:sz w:val="22"/>
        </w:rPr>
        <w:t xml:space="preserve">Verisk filed an 8-K disclosing that EVP and CIO Nick Daffan will no longer serve in his role effective August 3, 2026, transitioning to a Strategic Advisor role through year-end. CTO Jeff Negrete will serve as interim CIO. Daffan led the mainframe-to-cloud migration over 20+ years. </w:t>
      </w:r>
      <w:r>
        <w:rPr>
          <w:rFonts w:ascii="Calibri" w:hAnsi="Calibri"/>
          <w:i/>
          <w:color w:val="525866"/>
          <w:sz w:val="22"/>
        </w:rPr>
        <w:t>Implication: Modest negative — the departure of a senior technology leader during a critical AI transformation phase warrants monitoring, though the planned transition and Negrete’s existing CTO role limit operational disruption.</w:t>
      </w:r>
    </w:p>
    <w:p>
      <w:pPr>
        <w:pStyle w:val="ListBullet"/>
        <w:ind w:left="360" w:hanging="360"/>
      </w:pPr>
      <w:r>
        <w:rPr>
          <w:rFonts w:ascii="Calibri" w:hAnsi="Calibri"/>
          <w:b/>
          <w:color w:val="525866"/>
          <w:sz w:val="22"/>
        </w:rPr>
        <w:t xml:space="preserve">June 2026 — Synergy Studio Production Launch (On Track): </w:t>
      </w:r>
      <w:r>
        <w:rPr>
          <w:rFonts w:ascii="Calibri" w:hAnsi="Calibri"/>
          <w:color w:val="525866"/>
          <w:sz w:val="22"/>
        </w:rPr>
        <w:t xml:space="preserve">Management confirmed at Q1 earnings (April 29) and subsequent conferences that the production release of Verisk Synergy Studio — the next-generation cloud-native SaaS catastrophe modeling platform with an open ecosystem for third-party models — was on track for June 2026. Clients were expanding hosting relationships in preparation. </w:t>
      </w:r>
      <w:r>
        <w:rPr>
          <w:rFonts w:ascii="Calibri" w:hAnsi="Calibri"/>
          <w:i/>
          <w:color w:val="525866"/>
          <w:sz w:val="22"/>
        </w:rPr>
        <w:t>Implication: Positive — Synergy Studio is a key growth driver for the Catastrophe and Risk Solutions segment, which delivered double-digit growth in Q1 2026.</w:t>
      </w:r>
    </w:p>
    <w:p>
      <w:pPr>
        <w:pStyle w:val="ListBullet"/>
        <w:ind w:left="360" w:hanging="360"/>
      </w:pPr>
      <w:r>
        <w:rPr>
          <w:rFonts w:ascii="Calibri" w:hAnsi="Calibri"/>
          <w:b/>
          <w:color w:val="525866"/>
          <w:sz w:val="22"/>
        </w:rPr>
        <w:t xml:space="preserve">May 2026 — MCP Connectors Launched Inside Anthropic’s Claude: </w:t>
      </w:r>
      <w:r>
        <w:rPr>
          <w:rFonts w:ascii="Calibri" w:hAnsi="Calibri"/>
          <w:color w:val="525866"/>
          <w:sz w:val="22"/>
        </w:rPr>
        <w:t xml:space="preserve">Verisk launched two MCP (Model Context Protocol) connectors inside Anthropic’s Claude — Verisk Underwriting Intelligence (ISO Indications) and Verisk XactRestore — currently offered on a free trial basis. Management described frontier AI model companies as a “distribution channel” for VRSK’s data sets. </w:t>
      </w:r>
      <w:r>
        <w:rPr>
          <w:rFonts w:ascii="Calibri" w:hAnsi="Calibri"/>
          <w:i/>
          <w:color w:val="525866"/>
          <w:sz w:val="22"/>
        </w:rPr>
        <w:t>Implication: Positive — early-stage but strategically significant; validates the AI monetization pathway and positions VRSK as a data layer for AI-native workflows.</w:t>
      </w:r>
    </w:p>
    <w:p>
      <w:pPr>
        <w:pStyle w:val="ListBullet"/>
        <w:ind w:left="360" w:hanging="360"/>
      </w:pPr>
      <w:r>
        <w:rPr>
          <w:rFonts w:ascii="Calibri" w:hAnsi="Calibri"/>
          <w:b/>
          <w:color w:val="525866"/>
          <w:sz w:val="22"/>
        </w:rPr>
        <w:t xml:space="preserve">April 29, 2026 — Q1 2026 Earnings Beat &amp; Guidance Reaffirmed: </w:t>
      </w:r>
      <w:r>
        <w:rPr>
          <w:rFonts w:ascii="Calibri" w:hAnsi="Calibri"/>
          <w:color w:val="525866"/>
          <w:sz w:val="22"/>
        </w:rPr>
        <w:t xml:space="preserve">VRSK reported Q1 2026 revenue of $783M (+4% YoY), adj. EPS of $1.82 (+5.2%), and OCC growth of 4.7% — all above consensus. Full-year 2026 guidance was reaffirmed in full. Management confirmed Q1 as the trough quarter. Stock rose +6.5% on the day. </w:t>
      </w:r>
      <w:r>
        <w:rPr>
          <w:rFonts w:ascii="Calibri" w:hAnsi="Calibri"/>
          <w:i/>
          <w:color w:val="525866"/>
          <w:sz w:val="22"/>
        </w:rPr>
        <w:t>Implication: Positive — the beat and reaffirmation established the foundation for the stock’s subsequent rally.</w:t>
      </w:r>
    </w:p>
    <w:p>
      <w:pPr>
        <w:pStyle w:val="ListBullet"/>
        <w:ind w:left="360" w:hanging="360"/>
      </w:pPr>
      <w:r>
        <w:rPr>
          <w:rFonts w:ascii="Calibri" w:hAnsi="Calibri"/>
          <w:b/>
          <w:color w:val="525866"/>
          <w:sz w:val="22"/>
        </w:rPr>
        <w:t xml:space="preserve">April 29, 2026 — $1.5B Accelerated Share Repurchase (ASR) Initiated: </w:t>
      </w:r>
      <w:r>
        <w:rPr>
          <w:rFonts w:ascii="Calibri" w:hAnsi="Calibri"/>
          <w:color w:val="525866"/>
          <w:sz w:val="22"/>
        </w:rPr>
        <w:t xml:space="preserve">VRSK initiated a $1.5B ASR program funded by $1B in senior notes and a $500M term loan, retiring 7.6M shares in Q1 2026. The program was expected to run at least through Q2 2026, with ~$1B remaining under the broader repurchase authorization. </w:t>
      </w:r>
      <w:r>
        <w:rPr>
          <w:rFonts w:ascii="Calibri" w:hAnsi="Calibri"/>
          <w:i/>
          <w:color w:val="525866"/>
          <w:sz w:val="22"/>
        </w:rPr>
        <w:t>Implication: Positive — meaningful EPS accretion tailwind; the ASR is a key driver of consensus EPS estimates above the guidance midpoint.</w:t>
      </w:r>
    </w:p>
    <w:p>
      <w:pPr>
        <w:pStyle w:val="ListBullet"/>
        <w:ind w:left="360" w:hanging="360"/>
      </w:pPr>
      <w:r>
        <w:rPr>
          <w:rFonts w:ascii="Calibri" w:hAnsi="Calibri"/>
          <w:b/>
          <w:color w:val="525866"/>
          <w:sz w:val="22"/>
        </w:rPr>
        <w:t xml:space="preserve">March 5, 2026 — Investor Day: </w:t>
      </w:r>
      <w:r>
        <w:rPr>
          <w:rFonts w:ascii="Calibri" w:hAnsi="Calibri"/>
          <w:color w:val="525866"/>
          <w:sz w:val="22"/>
        </w:rPr>
        <w:t xml:space="preserve">Verisk hosted an Investor Day reiterating medium-term growth targets (6–8% OCC revenue growth, OCC adj. EBITDA growth, annual margin expansion, double-digit adj. EPS growth) and introducing a new capital return commitment targeting return of more than 75% of free cash flow annually. Four strategic pillars outlined: strengthening client relationships, expanding proprietary data advantage, delivering continuous innovation, and expanding networks. </w:t>
      </w:r>
      <w:r>
        <w:rPr>
          <w:rFonts w:ascii="Calibri" w:hAnsi="Calibri"/>
          <w:i/>
          <w:color w:val="525866"/>
          <w:sz w:val="22"/>
        </w:rPr>
        <w:t>Implication: Positive — provided a clear multi-year framework that the street has largely embraced.</w:t>
      </w:r>
    </w:p>
    <w:p>
      <w:pPr>
        <w:pStyle w:val="ListBullet"/>
        <w:ind w:left="360" w:hanging="360"/>
      </w:pPr>
      <w:r>
        <w:rPr>
          <w:rFonts w:ascii="Calibri" w:hAnsi="Calibri"/>
          <w:b/>
          <w:color w:val="525866"/>
          <w:sz w:val="22"/>
        </w:rPr>
        <w:t xml:space="preserve">Ongoing — Agentic AI Underwriting Platform Co-Development: </w:t>
      </w:r>
      <w:r>
        <w:rPr>
          <w:rFonts w:ascii="Calibri" w:hAnsi="Calibri"/>
          <w:color w:val="525866"/>
          <w:sz w:val="22"/>
        </w:rPr>
        <w:t xml:space="preserve">VRSK won a competitive RFP to serve as the strategic partner of a major global insurance firm to co-develop a next-generation digitally native underwriting entity using agentic AI. VRSK will contribute its data, actuarial, and analytics capabilities alongside AI-driven platforms. </w:t>
      </w:r>
      <w:r>
        <w:rPr>
          <w:rFonts w:ascii="Calibri" w:hAnsi="Calibri"/>
          <w:i/>
          <w:color w:val="525866"/>
          <w:sz w:val="22"/>
        </w:rPr>
        <w:t>Implication: Positive — a concrete proof-of-concept for AI monetization beyond incremental pricing; could be a template for future partnerships.</w:t>
      </w:r>
    </w:p>
    <w:p>
      <w:pPr>
        <w:pStyle w:val="ListBullet"/>
        <w:ind w:left="360" w:hanging="360"/>
      </w:pPr>
      <w:r>
        <w:rPr>
          <w:rFonts w:ascii="Calibri" w:hAnsi="Calibri"/>
          <w:b/>
          <w:color w:val="525866"/>
          <w:sz w:val="22"/>
        </w:rPr>
        <w:t xml:space="preserve">Ongoing — E&amp;S Lines Contributory Data Expansion: </w:t>
      </w:r>
      <w:r>
        <w:rPr>
          <w:rFonts w:ascii="Calibri" w:hAnsi="Calibri"/>
          <w:color w:val="525866"/>
          <w:sz w:val="22"/>
        </w:rPr>
        <w:t xml:space="preserve">The excess and surplus (E&amp;S) lines contributory data program now has contributions representing more than $15B in premium, with 4 new Core Lines carriers added in Q1 2026. The E&amp;S market has been growing faster than the admitted market. </w:t>
      </w:r>
      <w:r>
        <w:rPr>
          <w:rFonts w:ascii="Calibri" w:hAnsi="Calibri"/>
          <w:i/>
          <w:color w:val="525866"/>
          <w:sz w:val="22"/>
        </w:rPr>
        <w:t>Implication: Positive — incremental growth vector that extends VRSK’s data network effects into a faster-growing market segment.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discretionary buys or sells from executives since Q1 earnings. </w:t>
      </w:r>
      <w:r>
        <w:rPr>
          <w:rFonts w:ascii="Calibri" w:hAnsi="Calibri"/>
          <w:b/>
          <w:color w:val="525866"/>
          <w:sz w:val="22"/>
        </w:rPr>
        <w:t>The CFO’s recurring 10b5-1 sales (400 shares/month) are plan-driven and not a signal</w:t>
      </w:r>
      <w:r>
        <w:rPr>
          <w:rFonts w:ascii="Calibri" w:hAnsi="Calibri"/>
          <w:color w:val="525866"/>
          <w:sz w:val="22"/>
        </w:rPr>
        <w:t>. Director activity is limited to routine equity award grants. No unusual insider activity to flag.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Mann, Elizabeth</w:t>
            </w:r>
          </w:p>
        </w:tc>
        <w:tc>
          <w:tcPr>
            <w:tcW w:type="dxa" w:w="1440"/>
          </w:tcPr>
          <w:p>
            <w:r>
              <w:rPr>
                <w:rFonts w:ascii="Calibri" w:hAnsi="Calibri"/>
                <w:sz w:val="22"/>
              </w:rPr>
              <w:t>CFO</w:t>
            </w:r>
          </w:p>
        </w:tc>
        <w:tc>
          <w:tcPr>
            <w:tcW w:type="dxa" w:w="1440"/>
          </w:tcPr>
          <w:p>
            <w:r>
              <w:rPr>
                <w:rFonts w:ascii="Calibri" w:hAnsi="Calibri"/>
                <w:sz w:val="22"/>
              </w:rPr>
              <w:t>10b5-1 Planned Sale</w:t>
            </w:r>
          </w:p>
        </w:tc>
        <w:tc>
          <w:tcPr>
            <w:tcW w:type="dxa" w:w="1440"/>
          </w:tcPr>
          <w:p>
            <w:r>
              <w:rPr>
                <w:rFonts w:ascii="Calibri" w:hAnsi="Calibri"/>
                <w:sz w:val="22"/>
              </w:rPr>
              <w:t>400</w:t>
            </w:r>
          </w:p>
        </w:tc>
        <w:tc>
          <w:tcPr>
            <w:tcW w:type="dxa" w:w="1440"/>
          </w:tcPr>
          <w:p>
            <w:r>
              <w:rPr>
                <w:rFonts w:ascii="Calibri" w:hAnsi="Calibri"/>
                <w:sz w:val="22"/>
              </w:rPr>
              <w:t>Jul 15, 2026</w:t>
            </w:r>
          </w:p>
        </w:tc>
        <w:tc>
          <w:tcPr>
            <w:tcW w:type="dxa" w:w="1440"/>
          </w:tcPr>
          <w:p>
            <w:r>
              <w:rPr>
                <w:rFonts w:ascii="Calibri" w:hAnsi="Calibri"/>
                <w:sz w:val="22"/>
              </w:rPr>
              <w:t>Recurring 10b5-1 plan sale; third consecutive month of identical 400-share sales. Not discretionary.</w:t>
            </w:r>
          </w:p>
        </w:tc>
      </w:tr>
      <w:tr>
        <w:tc>
          <w:tcPr>
            <w:tcW w:type="dxa" w:w="1440"/>
          </w:tcPr>
          <w:p>
            <w:r>
              <w:rPr>
                <w:rFonts w:ascii="Calibri" w:hAnsi="Calibri"/>
                <w:sz w:val="22"/>
              </w:rPr>
              <w:t>Mann, Elizabeth</w:t>
            </w:r>
          </w:p>
        </w:tc>
        <w:tc>
          <w:tcPr>
            <w:tcW w:type="dxa" w:w="1440"/>
          </w:tcPr>
          <w:p>
            <w:r>
              <w:rPr>
                <w:rFonts w:ascii="Calibri" w:hAnsi="Calibri"/>
                <w:sz w:val="22"/>
              </w:rPr>
              <w:t>CFO</w:t>
            </w:r>
          </w:p>
        </w:tc>
        <w:tc>
          <w:tcPr>
            <w:tcW w:type="dxa" w:w="1440"/>
          </w:tcPr>
          <w:p>
            <w:r>
              <w:rPr>
                <w:rFonts w:ascii="Calibri" w:hAnsi="Calibri"/>
                <w:sz w:val="22"/>
              </w:rPr>
              <w:t>10b5-1 Planned Sale</w:t>
            </w:r>
          </w:p>
        </w:tc>
        <w:tc>
          <w:tcPr>
            <w:tcW w:type="dxa" w:w="1440"/>
          </w:tcPr>
          <w:p>
            <w:r>
              <w:rPr>
                <w:rFonts w:ascii="Calibri" w:hAnsi="Calibri"/>
                <w:sz w:val="22"/>
              </w:rPr>
              <w:t>400</w:t>
            </w:r>
          </w:p>
        </w:tc>
        <w:tc>
          <w:tcPr>
            <w:tcW w:type="dxa" w:w="1440"/>
          </w:tcPr>
          <w:p>
            <w:r>
              <w:rPr>
                <w:rFonts w:ascii="Calibri" w:hAnsi="Calibri"/>
                <w:sz w:val="22"/>
              </w:rPr>
              <w:t>Jun 15, 2026</w:t>
            </w:r>
          </w:p>
        </w:tc>
        <w:tc>
          <w:tcPr>
            <w:tcW w:type="dxa" w:w="1440"/>
          </w:tcPr>
          <w:p>
            <w:r>
              <w:rPr>
                <w:rFonts w:ascii="Calibri" w:hAnsi="Calibri"/>
                <w:sz w:val="22"/>
              </w:rPr>
              <w:t>Recurring 10b5-1 plan sale; consistent with prior month pattern.</w:t>
            </w:r>
          </w:p>
        </w:tc>
      </w:tr>
      <w:tr>
        <w:tc>
          <w:tcPr>
            <w:tcW w:type="dxa" w:w="1440"/>
          </w:tcPr>
          <w:p>
            <w:r>
              <w:rPr>
                <w:rFonts w:ascii="Calibri" w:hAnsi="Calibri"/>
                <w:sz w:val="22"/>
              </w:rPr>
              <w:t>Mann, Elizabeth</w:t>
            </w:r>
          </w:p>
        </w:tc>
        <w:tc>
          <w:tcPr>
            <w:tcW w:type="dxa" w:w="1440"/>
          </w:tcPr>
          <w:p>
            <w:r>
              <w:rPr>
                <w:rFonts w:ascii="Calibri" w:hAnsi="Calibri"/>
                <w:sz w:val="22"/>
              </w:rPr>
              <w:t>CFO</w:t>
            </w:r>
          </w:p>
        </w:tc>
        <w:tc>
          <w:tcPr>
            <w:tcW w:type="dxa" w:w="1440"/>
          </w:tcPr>
          <w:p>
            <w:r>
              <w:rPr>
                <w:rFonts w:ascii="Calibri" w:hAnsi="Calibri"/>
                <w:sz w:val="22"/>
              </w:rPr>
              <w:t>10b5-1 Planned Sale</w:t>
            </w:r>
          </w:p>
        </w:tc>
        <w:tc>
          <w:tcPr>
            <w:tcW w:type="dxa" w:w="1440"/>
          </w:tcPr>
          <w:p>
            <w:r>
              <w:rPr>
                <w:rFonts w:ascii="Calibri" w:hAnsi="Calibri"/>
                <w:sz w:val="22"/>
              </w:rPr>
              <w:t>400</w:t>
            </w:r>
          </w:p>
        </w:tc>
        <w:tc>
          <w:tcPr>
            <w:tcW w:type="dxa" w:w="1440"/>
          </w:tcPr>
          <w:p>
            <w:r>
              <w:rPr>
                <w:rFonts w:ascii="Calibri" w:hAnsi="Calibri"/>
                <w:sz w:val="22"/>
              </w:rPr>
              <w:t>May 15, 2026</w:t>
            </w:r>
          </w:p>
        </w:tc>
        <w:tc>
          <w:tcPr>
            <w:tcW w:type="dxa" w:w="1440"/>
          </w:tcPr>
          <w:p>
            <w:r>
              <w:rPr>
                <w:rFonts w:ascii="Calibri" w:hAnsi="Calibri"/>
                <w:sz w:val="22"/>
              </w:rPr>
              <w:t>Recurring 10b5-1 plan sale; first post-Q1 earnings sale.</w:t>
            </w:r>
          </w:p>
        </w:tc>
      </w:tr>
      <w:tr>
        <w:tc>
          <w:tcPr>
            <w:tcW w:type="dxa" w:w="1440"/>
          </w:tcPr>
          <w:p>
            <w:r>
              <w:rPr>
                <w:rFonts w:ascii="Calibri" w:hAnsi="Calibri"/>
                <w:sz w:val="22"/>
              </w:rPr>
              <w:t>Liss, Samuel G.</w:t>
            </w:r>
          </w:p>
        </w:tc>
        <w:tc>
          <w:tcPr>
            <w:tcW w:type="dxa" w:w="1440"/>
          </w:tcPr>
          <w:p>
            <w:r>
              <w:rPr>
                <w:rFonts w:ascii="Calibri" w:hAnsi="Calibri"/>
                <w:sz w:val="22"/>
              </w:rPr>
              <w:t>Director</w:t>
            </w:r>
          </w:p>
        </w:tc>
        <w:tc>
          <w:tcPr>
            <w:tcW w:type="dxa" w:w="1440"/>
          </w:tcPr>
          <w:p>
            <w:r>
              <w:rPr>
                <w:rFonts w:ascii="Calibri" w:hAnsi="Calibri"/>
                <w:sz w:val="22"/>
              </w:rPr>
              <w:t>Open Market Sale (Option Exercise + Sale)</w:t>
            </w:r>
          </w:p>
        </w:tc>
        <w:tc>
          <w:tcPr>
            <w:tcW w:type="dxa" w:w="1440"/>
          </w:tcPr>
          <w:p>
            <w:r>
              <w:rPr>
                <w:rFonts w:ascii="Calibri" w:hAnsi="Calibri"/>
                <w:sz w:val="22"/>
              </w:rPr>
              <w:t>4,671</w:t>
            </w:r>
          </w:p>
        </w:tc>
        <w:tc>
          <w:tcPr>
            <w:tcW w:type="dxa" w:w="1440"/>
          </w:tcPr>
          <w:p>
            <w:r>
              <w:rPr>
                <w:rFonts w:ascii="Calibri" w:hAnsi="Calibri"/>
                <w:sz w:val="22"/>
              </w:rPr>
              <w:t>Jun 5, 2026</w:t>
            </w:r>
          </w:p>
        </w:tc>
        <w:tc>
          <w:tcPr>
            <w:tcW w:type="dxa" w:w="1440"/>
          </w:tcPr>
          <w:p>
            <w:r>
              <w:rPr>
                <w:rFonts w:ascii="Calibri" w:hAnsi="Calibri"/>
                <w:sz w:val="22"/>
              </w:rPr>
              <w:t>Stock option exercise (M) and same-day sale (S) — standard cashless exercise. Not a discretionary open-market sale.</w:t>
            </w:r>
          </w:p>
        </w:tc>
      </w:tr>
      <w:tr>
        <w:tc>
          <w:tcPr>
            <w:tcW w:type="dxa" w:w="1440"/>
          </w:tcPr>
          <w:p>
            <w:r>
              <w:rPr>
                <w:rFonts w:ascii="Calibri" w:hAnsi="Calibri"/>
                <w:sz w:val="22"/>
              </w:rPr>
              <w:t>Liss, Samuel G.</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167 (Jun 30) / 1,347 (May 19)</w:t>
            </w:r>
          </w:p>
        </w:tc>
        <w:tc>
          <w:tcPr>
            <w:tcW w:type="dxa" w:w="1440"/>
          </w:tcPr>
          <w:p>
            <w:r>
              <w:rPr>
                <w:rFonts w:ascii="Calibri" w:hAnsi="Calibri"/>
                <w:sz w:val="22"/>
              </w:rPr>
              <w:t>Jun 30 &amp; May 19, 2026</w:t>
            </w:r>
          </w:p>
        </w:tc>
        <w:tc>
          <w:tcPr>
            <w:tcW w:type="dxa" w:w="1440"/>
          </w:tcPr>
          <w:p>
            <w:r>
              <w:rPr>
                <w:rFonts w:ascii="Calibri" w:hAnsi="Calibri"/>
                <w:sz w:val="22"/>
              </w:rPr>
              <w:t>Routine director equity compensation grants (code A). Not open-market purchases.</w:t>
            </w:r>
          </w:p>
        </w:tc>
      </w:tr>
      <w:tr>
        <w:tc>
          <w:tcPr>
            <w:tcW w:type="dxa" w:w="1440"/>
          </w:tcPr>
          <w:p>
            <w:r>
              <w:rPr>
                <w:rFonts w:ascii="Calibri" w:hAnsi="Calibri"/>
                <w:sz w:val="22"/>
              </w:rPr>
              <w:t>Multiple Directors (7)</w:t>
            </w:r>
          </w:p>
        </w:tc>
        <w:tc>
          <w:tcPr>
            <w:tcW w:type="dxa" w:w="1440"/>
          </w:tcPr>
          <w:p>
            <w:r>
              <w:rPr>
                <w:rFonts w:ascii="Calibri" w:hAnsi="Calibri"/>
                <w:sz w:val="22"/>
              </w:rPr>
              <w:t>Directors</w:t>
            </w:r>
          </w:p>
        </w:tc>
        <w:tc>
          <w:tcPr>
            <w:tcW w:type="dxa" w:w="1440"/>
          </w:tcPr>
          <w:p>
            <w:r>
              <w:rPr>
                <w:rFonts w:ascii="Calibri" w:hAnsi="Calibri"/>
                <w:sz w:val="22"/>
              </w:rPr>
              <w:t>Equity Award Grant</w:t>
            </w:r>
          </w:p>
        </w:tc>
        <w:tc>
          <w:tcPr>
            <w:tcW w:type="dxa" w:w="1440"/>
          </w:tcPr>
          <w:p>
            <w:r>
              <w:rPr>
                <w:rFonts w:ascii="Calibri" w:hAnsi="Calibri"/>
                <w:sz w:val="22"/>
              </w:rPr>
              <w:t>1,347 each (May 19); 146–163 each (Jun 30)</w:t>
            </w:r>
          </w:p>
        </w:tc>
        <w:tc>
          <w:tcPr>
            <w:tcW w:type="dxa" w:w="1440"/>
          </w:tcPr>
          <w:p>
            <w:r>
              <w:rPr>
                <w:rFonts w:ascii="Calibri" w:hAnsi="Calibri"/>
                <w:sz w:val="22"/>
              </w:rPr>
              <w:t>May 19 &amp; Jun 30, 2026</w:t>
            </w:r>
          </w:p>
        </w:tc>
        <w:tc>
          <w:tcPr>
            <w:tcW w:type="dxa" w:w="1440"/>
          </w:tcPr>
          <w:p>
            <w:r>
              <w:rPr>
                <w:rFonts w:ascii="Calibri" w:hAnsi="Calibri"/>
                <w:sz w:val="22"/>
              </w:rPr>
              <w:t>Routine annual director equity compensation grants (code A). Hendrick, Patiath, Perry, Purtill, Soroye, Stevenson, Vaughan. Not open-market purchases.</w:t>
            </w:r>
          </w:p>
        </w:tc>
      </w:tr>
      <w:tr>
        <w:tc>
          <w:tcPr>
            <w:tcW w:type="dxa" w:w="1440"/>
          </w:tcPr>
          <w:p>
            <w:r>
              <w:rPr>
                <w:rFonts w:ascii="Calibri" w:hAnsi="Calibri"/>
                <w:sz w:val="22"/>
              </w:rPr>
              <w:t>Hansen, Bruce Edward</w:t>
            </w:r>
          </w:p>
        </w:tc>
        <w:tc>
          <w:tcPr>
            <w:tcW w:type="dxa" w:w="1440"/>
          </w:tcPr>
          <w:p>
            <w:r>
              <w:rPr>
                <w:rFonts w:ascii="Calibri" w:hAnsi="Calibri"/>
                <w:sz w:val="22"/>
              </w:rPr>
              <w:t>Director</w:t>
            </w:r>
          </w:p>
        </w:tc>
        <w:tc>
          <w:tcPr>
            <w:tcW w:type="dxa" w:w="1440"/>
          </w:tcPr>
          <w:p>
            <w:r>
              <w:rPr>
                <w:rFonts w:ascii="Calibri" w:hAnsi="Calibri"/>
                <w:sz w:val="22"/>
              </w:rPr>
              <w:t>Equity Award Grant (10b5-1)</w:t>
            </w:r>
          </w:p>
        </w:tc>
        <w:tc>
          <w:tcPr>
            <w:tcW w:type="dxa" w:w="1440"/>
          </w:tcPr>
          <w:p>
            <w:r>
              <w:rPr>
                <w:rFonts w:ascii="Calibri" w:hAnsi="Calibri"/>
                <w:sz w:val="22"/>
              </w:rPr>
              <w:t>1,347 (May 19); 2,336 (Jun 1)</w:t>
            </w:r>
          </w:p>
        </w:tc>
        <w:tc>
          <w:tcPr>
            <w:tcW w:type="dxa" w:w="1440"/>
          </w:tcPr>
          <w:p>
            <w:r>
              <w:rPr>
                <w:rFonts w:ascii="Calibri" w:hAnsi="Calibri"/>
                <w:sz w:val="22"/>
              </w:rPr>
              <w:t>May 19 &amp; Jun 1, 2026</w:t>
            </w:r>
          </w:p>
        </w:tc>
        <w:tc>
          <w:tcPr>
            <w:tcW w:type="dxa" w:w="1440"/>
          </w:tcPr>
          <w:p>
            <w:r>
              <w:rPr>
                <w:rFonts w:ascii="Calibri" w:hAnsi="Calibri"/>
                <w:sz w:val="22"/>
              </w:rPr>
              <w:t>Equity award grants; Jun 1 transaction is a 10b5-1 plan award (code M). Routine compensation.</w:t>
            </w:r>
          </w:p>
        </w:tc>
      </w:tr>
      <w:tr>
        <w:tc>
          <w:tcPr>
            <w:tcW w:type="dxa" w:w="1440"/>
          </w:tcPr>
          <w:p>
            <w:r>
              <w:rPr>
                <w:rFonts w:ascii="Calibri" w:hAnsi="Calibri"/>
                <w:sz w:val="22"/>
              </w:rPr>
              <w:t>Dailey, Jeffrey J.</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1,347</w:t>
            </w:r>
          </w:p>
        </w:tc>
        <w:tc>
          <w:tcPr>
            <w:tcW w:type="dxa" w:w="1440"/>
          </w:tcPr>
          <w:p>
            <w:r>
              <w:rPr>
                <w:rFonts w:ascii="Calibri" w:hAnsi="Calibri"/>
                <w:sz w:val="22"/>
              </w:rPr>
              <w:t>May 19, 2026</w:t>
            </w:r>
          </w:p>
        </w:tc>
        <w:tc>
          <w:tcPr>
            <w:tcW w:type="dxa" w:w="1440"/>
          </w:tcPr>
          <w:p>
            <w:r>
              <w:rPr>
                <w:rFonts w:ascii="Calibri" w:hAnsi="Calibri"/>
                <w:sz w:val="22"/>
              </w:rPr>
              <w:t>Routine annual director equity compensation grant (code A).</w:t>
            </w:r>
          </w:p>
        </w:tc>
      </w:tr>
    </w:tbl>
    <w:p>
      <w:r>
        <w:rPr>
          <w:rFonts w:ascii="Calibri" w:hAnsi="Calibri"/>
          <w:b/>
          <w:color w:val="525866"/>
          <w:sz w:val="22"/>
        </w:rPr>
        <w:t xml:space="preserve">Summary: </w:t>
      </w:r>
      <w:r>
        <w:rPr>
          <w:rFonts w:ascii="Calibri" w:hAnsi="Calibri"/>
          <w:color w:val="525866"/>
          <w:sz w:val="22"/>
        </w:rPr>
        <w:t xml:space="preserve">All insider activity since Q1 2026 earnings consists of (1) the CFO’s recurring 10b5-1 plan sales of 400 shares/month — a pre-scheduled, non-discretionary program — and (2) routine director equity compensation grants (code A awards) and one cashless option exercise by Director Liss. There are </w:t>
      </w:r>
      <w:r>
        <w:rPr>
          <w:rFonts w:ascii="Calibri" w:hAnsi="Calibri"/>
          <w:b/>
          <w:color w:val="525866"/>
          <w:sz w:val="22"/>
        </w:rPr>
        <w:t>no open-market discretionary buys or sells</w:t>
      </w:r>
      <w:r>
        <w:rPr>
          <w:rFonts w:ascii="Calibri" w:hAnsi="Calibri"/>
          <w:color w:val="525866"/>
          <w:sz w:val="22"/>
        </w:rPr>
        <w:t xml:space="preserve"> from any executive or director. The absence of any discretionary selling at elevated stock prices (VRSK up ~12.8% since Q1 earnings) is a mild positive signal — insiders are not using the rally as an exit opportunity.</w:t>
      </w:r>
    </w:p>
    <w:p>
      <w:r>
        <w:rPr>
          <w:rFonts w:ascii="Calibri" w:hAnsi="Calibri"/>
          <w:i/>
          <w:color w:val="525866"/>
          <w:sz w:val="22"/>
        </w:rPr>
        <w:t>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