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Verisk Analytics (VRSK) — Q2 2026 Earnings Preview</w:t>
      </w:r>
    </w:p>
    <w:p>
      <w:r>
        <w:rPr>
          <w:rFonts w:ascii="Calibri" w:hAnsi="Calibri"/>
          <w:b/>
          <w:color w:val="525866"/>
          <w:sz w:val="22"/>
        </w:rPr>
        <w:t xml:space="preserve">Ticker: </w:t>
      </w:r>
      <w:r>
        <w:rPr>
          <w:rFonts w:ascii="Calibri" w:hAnsi="Calibri"/>
          <w:color w:val="525866"/>
          <w:sz w:val="22"/>
        </w:rPr>
        <w:t xml:space="preserve">VRSK  </w:t>
      </w:r>
      <w:r>
        <w:rPr>
          <w:rFonts w:ascii="Calibri" w:hAnsi="Calibri"/>
          <w:b/>
          <w:color w:val="525866"/>
          <w:sz w:val="22"/>
        </w:rPr>
        <w:t xml:space="preserve">Upcoming Earnings Date: </w:t>
      </w:r>
      <w:r>
        <w:rPr>
          <w:rFonts w:ascii="Calibri" w:hAnsi="Calibri"/>
          <w:color w:val="525866"/>
          <w:sz w:val="22"/>
        </w:rPr>
        <w:t xml:space="preserve">July 29, 2026  </w:t>
      </w:r>
      <w:r>
        <w:rPr>
          <w:rFonts w:ascii="Calibri" w:hAnsi="Calibri"/>
          <w:b/>
          <w:color w:val="525866"/>
          <w:sz w:val="22"/>
        </w:rPr>
        <w:t xml:space="preserve">Preparation Date: </w:t>
      </w:r>
      <w:r>
        <w:rPr>
          <w:rFonts w:ascii="Calibri" w:hAnsi="Calibri"/>
          <w:color w:val="525866"/>
          <w:sz w:val="22"/>
        </w:rPr>
        <w:t xml:space="preserve">July 28,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has been trimmed since Q1 earnings, management pre-guided Q2 OCC growth could still fall below the long-term target range, and the bar appears achievable; the biggest swing factor is whether transactional revenue (weather-driven) shows any sequential improvement or remains a drag.</w:t>
      </w:r>
    </w:p>
    <w:p>
      <w:r>
        <w:rPr>
          <w:rFonts w:ascii="Calibri" w:hAnsi="Calibri"/>
          <w:color w:val="525866"/>
          <w:sz w:val="22"/>
        </w:rPr>
        <w:t xml:space="preserve">Heading into Q2 2026, the bar for Verisk is deliberately low: management explicitly warned on the April 29 earnings call that Q2 OCC revenue growth could still fall below the 6–8% long-term target range, citing persistent year-over-year headwinds from low 2025 weather activity, tough subscription renewal comparisons from a strong prior-year cycle, and the carryover of a federal government contract work stoppage. </w:t>
      </w:r>
      <w:r>
        <w:rPr>
          <w:rFonts w:ascii="Calibri" w:hAnsi="Calibri"/>
          <w:b/>
          <w:color w:val="525866"/>
          <w:sz w:val="22"/>
        </w:rPr>
        <w:t>Consensus revenue sits at ~$804M (+4.1% YoY) and operating EPS at ~$1.93</w:t>
      </w:r>
      <w:r>
        <w:rPr>
          <w:rFonts w:ascii="Calibri" w:hAnsi="Calibri"/>
          <w:color w:val="525866"/>
          <w:sz w:val="22"/>
        </w:rPr>
        <w:t xml:space="preserve">, both modestly below the prior-year Q2 actuals on a growth-rate basis — a low bar that management's own language has effectively set. Guidance tone has been stable-to-constructive since Q1: at the Bernstein conference (May 28), CEO Lee Shavel confirmed Q1 was the trough and expressed confidence in 'continued momentum into Q2,' and at William Blair (June 2) reiterated the 6–8% organic growth algorithm for the next three years. Estimate revisions have drifted slightly lower since the Q1 print — Q2 revenue consensus fell from ~$801.8M to ~$804.5M (a modest upward drift) while EPS moved from ~$1.91 to ~$1.93 — suggesting the street has largely digested the guidance and is not pricing in a meaningful surprise in either direction. </w:t>
      </w:r>
    </w:p>
    <w:p>
      <w:r>
        <w:rPr>
          <w:rFonts w:ascii="Calibri" w:hAnsi="Calibri"/>
          <w:color w:val="525866"/>
          <w:sz w:val="22"/>
        </w:rPr>
        <w:t xml:space="preserve">The stock has rallied ~12.8% since the April 29 earnings date (from $188.19 to $212.26 as of July 28), meaningfully outperforming the KIE insurance ETF (+16.1%) and the S&amp;P 500 (+4.1%) over the same window, with the bulk of the move driven by multiple re-expansion rather than estimate upgrades — the NTM EV/EBITDA has expanded from ~13.96x three months ago to ~16.36x today. </w:t>
      </w:r>
      <w:r>
        <w:rPr>
          <w:rFonts w:ascii="Calibri" w:hAnsi="Calibri"/>
          <w:b/>
          <w:color w:val="525866"/>
          <w:sz w:val="22"/>
        </w:rPr>
        <w:t>The stock is not cheap heading into the print</w:t>
      </w:r>
      <w:r>
        <w:rPr>
          <w:rFonts w:ascii="Calibri" w:hAnsi="Calibri"/>
          <w:color w:val="525866"/>
          <w:sz w:val="22"/>
        </w:rPr>
        <w:t xml:space="preserve">, but the setup is not stretched either given the trough narrative is well-understood. The key wildcard is </w:t>
      </w:r>
      <w:r>
        <w:rPr>
          <w:rFonts w:ascii="Calibri" w:hAnsi="Calibri"/>
          <w:b/>
          <w:color w:val="525866"/>
          <w:sz w:val="22"/>
        </w:rPr>
        <w:t>weather activity in Q2 2026</w:t>
      </w:r>
      <w:r>
        <w:rPr>
          <w:rFonts w:ascii="Calibri" w:hAnsi="Calibri"/>
          <w:color w:val="525866"/>
          <w:sz w:val="22"/>
        </w:rPr>
        <w:t>: Progressive's Q2 results showed a net catastrophe loss ratio of 2.4% companywide (with property at 8.9%), and Travelers reported ~$400M after-tax cat losses — both suggesting more normalized weather than the near-zero activity of 2025, which could provide a modest transactional revenue tailwind for Verisk's property and restoration solutions. A second wildcard is the CIO transition announced July 27 (effective August 3), which adds a minor leadership uncertainty overhang heading into the call.</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on both revenue (~$804M, +4.1% YoY) and operating EPS (~$1.93, +2.7% YoY), consistent with management's own guidance that Q2 OCC growth may still fall below the long-term 6–8% target range. </w:t>
      </w:r>
      <w:r>
        <w:rPr>
          <w:rFonts w:ascii="Calibri" w:hAnsi="Calibri"/>
          <w:b/>
          <w:color w:val="525866"/>
          <w:sz w:val="22"/>
        </w:rPr>
        <w:t>Organic CC growth and the subscription/transactional revenue split are the bigger swing factors</w:t>
      </w:r>
      <w:r>
        <w:rPr>
          <w:rFonts w:ascii="Calibri" w:hAnsi="Calibri"/>
          <w:color w:val="525866"/>
          <w:sz w:val="22"/>
        </w:rPr>
        <w:t xml:space="preserve"> — any improvement in transactional revenue from weather normalization could push the print above the low bar.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($M)</w:t>
            </w:r>
          </w:p>
        </w:tc>
        <w:tc>
          <w:tcPr>
            <w:tcW w:type="dxa" w:w="1234"/>
          </w:tcPr>
          <w:p>
            <w:r>
              <w:rPr>
                <w:rFonts w:ascii="Calibri" w:hAnsi="Calibri"/>
                <w:sz w:val="22"/>
              </w:rPr>
              <w:t>$782.6M</w:t>
            </w:r>
          </w:p>
        </w:tc>
        <w:tc>
          <w:tcPr>
            <w:tcW w:type="dxa" w:w="1234"/>
          </w:tcPr>
          <w:p>
            <w:r>
              <w:rPr>
                <w:rFonts w:ascii="Calibri" w:hAnsi="Calibri"/>
                <w:sz w:val="22"/>
              </w:rPr>
              <w:t>$772.6M</w:t>
            </w:r>
          </w:p>
        </w:tc>
        <w:tc>
          <w:tcPr>
            <w:tcW w:type="dxa" w:w="1234"/>
          </w:tcPr>
          <w:p>
            <w:r>
              <w:rPr>
                <w:rFonts w:ascii="Calibri" w:hAnsi="Calibri"/>
                <w:sz w:val="22"/>
              </w:rPr>
              <w:t>$804.5M</w:t>
            </w:r>
          </w:p>
        </w:tc>
        <w:tc>
          <w:tcPr>
            <w:tcW w:type="dxa" w:w="1234"/>
          </w:tcPr>
          <w:p>
            <w:r>
              <w:rPr>
                <w:rFonts w:ascii="Calibri" w:hAnsi="Calibri"/>
                <w:sz w:val="22"/>
              </w:rPr>
              <w:t>+4.1%</w:t>
            </w:r>
          </w:p>
        </w:tc>
        <w:tc>
          <w:tcPr>
            <w:tcW w:type="dxa" w:w="1234"/>
          </w:tcPr>
          <w:p>
            <w:r>
              <w:rPr>
                <w:rFonts w:ascii="Calibri" w:hAnsi="Calibri"/>
                <w:sz w:val="22"/>
              </w:rPr>
              <w:t>$3,215M midpoint ($3,190–$3,240M)</w:t>
            </w:r>
          </w:p>
        </w:tc>
        <w:tc>
          <w:tcPr>
            <w:tcW w:type="dxa" w:w="1234"/>
          </w:tcPr>
          <w:p>
            <w:r>
              <w:rPr>
                <w:rFonts w:ascii="Calibri" w:hAnsi="Calibri"/>
                <w:sz w:val="22"/>
              </w:rPr>
              <w:t>~+0.3% above midpoint run-rate</w:t>
            </w:r>
          </w:p>
        </w:tc>
      </w:tr>
      <w:tr>
        <w:tc>
          <w:tcPr>
            <w:tcW w:type="dxa" w:w="1234"/>
          </w:tcPr>
          <w:p>
            <w:r>
              <w:rPr>
                <w:rFonts w:ascii="Calibri" w:hAnsi="Calibri"/>
                <w:sz w:val="22"/>
              </w:rPr>
              <w:t>Adj. Operating EPS ($)</w:t>
            </w:r>
          </w:p>
        </w:tc>
        <w:tc>
          <w:tcPr>
            <w:tcW w:type="dxa" w:w="1234"/>
          </w:tcPr>
          <w:p>
            <w:r>
              <w:rPr>
                <w:rFonts w:ascii="Calibri" w:hAnsi="Calibri"/>
                <w:sz w:val="22"/>
              </w:rPr>
              <w:t>$1.82</w:t>
            </w:r>
          </w:p>
        </w:tc>
        <w:tc>
          <w:tcPr>
            <w:tcW w:type="dxa" w:w="1234"/>
          </w:tcPr>
          <w:p>
            <w:r>
              <w:rPr>
                <w:rFonts w:ascii="Calibri" w:hAnsi="Calibri"/>
                <w:sz w:val="22"/>
              </w:rPr>
              <w:t>$1.88</w:t>
            </w:r>
          </w:p>
        </w:tc>
        <w:tc>
          <w:tcPr>
            <w:tcW w:type="dxa" w:w="1234"/>
          </w:tcPr>
          <w:p>
            <w:r>
              <w:rPr>
                <w:rFonts w:ascii="Calibri" w:hAnsi="Calibri"/>
                <w:sz w:val="22"/>
              </w:rPr>
              <w:t>$1.93</w:t>
            </w:r>
          </w:p>
        </w:tc>
        <w:tc>
          <w:tcPr>
            <w:tcW w:type="dxa" w:w="1234"/>
          </w:tcPr>
          <w:p>
            <w:r>
              <w:rPr>
                <w:rFonts w:ascii="Calibri" w:hAnsi="Calibri"/>
                <w:sz w:val="22"/>
              </w:rPr>
              <w:t>+2.7%</w:t>
            </w:r>
          </w:p>
        </w:tc>
        <w:tc>
          <w:tcPr>
            <w:tcW w:type="dxa" w:w="1234"/>
          </w:tcPr>
          <w:p>
            <w:r>
              <w:rPr>
                <w:rFonts w:ascii="Calibri" w:hAnsi="Calibri"/>
                <w:sz w:val="22"/>
              </w:rPr>
              <w:t>$7.60 midpoint ($7.45–$7.75)</w:t>
            </w:r>
          </w:p>
        </w:tc>
        <w:tc>
          <w:tcPr>
            <w:tcW w:type="dxa" w:w="1234"/>
          </w:tcPr>
          <w:p>
            <w:r>
              <w:rPr>
                <w:rFonts w:ascii="Calibri" w:hAnsi="Calibri"/>
                <w:sz w:val="22"/>
              </w:rPr>
              <w:t>On track with FY guide</w:t>
            </w:r>
          </w:p>
        </w:tc>
      </w:tr>
      <w:tr>
        <w:tc>
          <w:tcPr>
            <w:tcW w:type="dxa" w:w="1234"/>
          </w:tcPr>
          <w:p>
            <w:r>
              <w:rPr>
                <w:rFonts w:ascii="Calibri" w:hAnsi="Calibri"/>
                <w:sz w:val="22"/>
              </w:rPr>
              <w:t>Adj. EBITDA ($M)</w:t>
            </w:r>
          </w:p>
        </w:tc>
        <w:tc>
          <w:tcPr>
            <w:tcW w:type="dxa" w:w="1234"/>
          </w:tcPr>
          <w:p>
            <w:r>
              <w:rPr>
                <w:rFonts w:ascii="Calibri" w:hAnsi="Calibri"/>
                <w:sz w:val="22"/>
              </w:rPr>
              <w:t>$437.5M</w:t>
            </w:r>
          </w:p>
        </w:tc>
        <w:tc>
          <w:tcPr>
            <w:tcW w:type="dxa" w:w="1234"/>
          </w:tcPr>
          <w:p>
            <w:r>
              <w:rPr>
                <w:rFonts w:ascii="Calibri" w:hAnsi="Calibri"/>
                <w:sz w:val="22"/>
              </w:rPr>
              <w:t>$444.8M</w:t>
            </w:r>
          </w:p>
        </w:tc>
        <w:tc>
          <w:tcPr>
            <w:tcW w:type="dxa" w:w="1234"/>
          </w:tcPr>
          <w:p>
            <w:r>
              <w:rPr>
                <w:rFonts w:ascii="Calibri" w:hAnsi="Calibri"/>
                <w:sz w:val="22"/>
              </w:rPr>
              <w:t>$456.9M</w:t>
            </w:r>
          </w:p>
        </w:tc>
        <w:tc>
          <w:tcPr>
            <w:tcW w:type="dxa" w:w="1234"/>
          </w:tcPr>
          <w:p>
            <w:r>
              <w:rPr>
                <w:rFonts w:ascii="Calibri" w:hAnsi="Calibri"/>
                <w:sz w:val="22"/>
              </w:rPr>
              <w:t>+2.7%</w:t>
            </w:r>
          </w:p>
        </w:tc>
        <w:tc>
          <w:tcPr>
            <w:tcW w:type="dxa" w:w="1234"/>
          </w:tcPr>
          <w:p>
            <w:r>
              <w:rPr>
                <w:rFonts w:ascii="Calibri" w:hAnsi="Calibri"/>
                <w:sz w:val="22"/>
              </w:rPr>
              <w:t>$1,810M midpoint ($1,790–$1,830M)</w:t>
            </w:r>
          </w:p>
        </w:tc>
        <w:tc>
          <w:tcPr>
            <w:tcW w:type="dxa" w:w="1234"/>
          </w:tcPr>
          <w:p>
            <w:r>
              <w:rPr>
                <w:rFonts w:ascii="Calibri" w:hAnsi="Calibri"/>
                <w:sz w:val="22"/>
              </w:rPr>
              <w:t>~+0.9% above midpoint run-rate</w:t>
            </w:r>
          </w:p>
        </w:tc>
      </w:tr>
      <w:tr>
        <w:tc>
          <w:tcPr>
            <w:tcW w:type="dxa" w:w="1234"/>
          </w:tcPr>
          <w:p>
            <w:r>
              <w:rPr>
                <w:rFonts w:ascii="Calibri" w:hAnsi="Calibri"/>
                <w:sz w:val="22"/>
              </w:rPr>
              <w:t>Organic CC Revenue Growth (%)</w:t>
            </w:r>
          </w:p>
        </w:tc>
        <w:tc>
          <w:tcPr>
            <w:tcW w:type="dxa" w:w="1234"/>
          </w:tcPr>
          <w:p>
            <w:r>
              <w:rPr>
                <w:rFonts w:ascii="Calibri" w:hAnsi="Calibri"/>
                <w:sz w:val="22"/>
              </w:rPr>
              <w:t>4.7%</w:t>
            </w:r>
          </w:p>
        </w:tc>
        <w:tc>
          <w:tcPr>
            <w:tcW w:type="dxa" w:w="1234"/>
          </w:tcPr>
          <w:p>
            <w:r>
              <w:rPr>
                <w:rFonts w:ascii="Calibri" w:hAnsi="Calibri"/>
                <w:sz w:val="22"/>
              </w:rPr>
              <w:t>7.9%</w:t>
            </w:r>
          </w:p>
        </w:tc>
        <w:tc>
          <w:tcPr>
            <w:tcW w:type="dxa" w:w="1234"/>
          </w:tcPr>
          <w:p>
            <w:r>
              <w:rPr>
                <w:rFonts w:ascii="Calibri" w:hAnsi="Calibri"/>
                <w:sz w:val="22"/>
              </w:rPr>
              <w:t>~5.3%</w:t>
            </w:r>
          </w:p>
        </w:tc>
        <w:tc>
          <w:tcPr>
            <w:tcW w:type="dxa" w:w="1234"/>
          </w:tcPr>
          <w:p>
            <w:r>
              <w:rPr>
                <w:rFonts w:ascii="Calibri" w:hAnsi="Calibri"/>
                <w:sz w:val="22"/>
              </w:rPr>
              <w:t>-260 bps YoY</w:t>
            </w:r>
          </w:p>
        </w:tc>
        <w:tc>
          <w:tcPr>
            <w:tcW w:type="dxa" w:w="1234"/>
          </w:tcPr>
          <w:p>
            <w:r>
              <w:rPr>
                <w:rFonts w:ascii="Calibri" w:hAnsi="Calibri"/>
                <w:sz w:val="22"/>
              </w:rPr>
              <w:t>6–8% LT target; FY2026 ~6.1% consensus</w:t>
            </w:r>
          </w:p>
        </w:tc>
        <w:tc>
          <w:tcPr>
            <w:tcW w:type="dxa" w:w="1234"/>
          </w:tcPr>
          <w:p>
            <w:r>
              <w:rPr>
                <w:rFonts w:ascii="Calibri" w:hAnsi="Calibri"/>
                <w:sz w:val="22"/>
              </w:rPr>
              <w:t>Below LT range; mgmt guided Q2 may still be below</w:t>
            </w:r>
          </w:p>
        </w:tc>
      </w:tr>
      <w:tr>
        <w:tc>
          <w:tcPr>
            <w:tcW w:type="dxa" w:w="1234"/>
          </w:tcPr>
          <w:p>
            <w:r>
              <w:rPr>
                <w:rFonts w:ascii="Calibri" w:hAnsi="Calibri"/>
                <w:sz w:val="22"/>
              </w:rPr>
              <w:t>Subscription OCC Growth (%)</w:t>
            </w:r>
          </w:p>
        </w:tc>
        <w:tc>
          <w:tcPr>
            <w:tcW w:type="dxa" w:w="1234"/>
          </w:tcPr>
          <w:p>
            <w:r>
              <w:rPr>
                <w:rFonts w:ascii="Calibri" w:hAnsi="Calibri"/>
                <w:sz w:val="22"/>
              </w:rPr>
              <w:t>7.0%</w:t>
            </w:r>
          </w:p>
        </w:tc>
        <w:tc>
          <w:tcPr>
            <w:tcW w:type="dxa" w:w="1234"/>
          </w:tcPr>
          <w:p>
            <w:r>
              <w:rPr>
                <w:rFonts w:ascii="Calibri" w:hAnsi="Calibri"/>
                <w:sz w:val="22"/>
              </w:rPr>
              <w:t>9.3%</w:t>
            </w:r>
          </w:p>
        </w:tc>
        <w:tc>
          <w:tcPr>
            <w:tcW w:type="dxa" w:w="1234"/>
          </w:tcPr>
          <w:p>
            <w:r>
              <w:rPr>
                <w:rFonts w:ascii="Calibri" w:hAnsi="Calibri"/>
                <w:sz w:val="22"/>
              </w:rPr>
              <w:t>~7.2%</w:t>
            </w:r>
          </w:p>
        </w:tc>
        <w:tc>
          <w:tcPr>
            <w:tcW w:type="dxa" w:w="1234"/>
          </w:tcPr>
          <w:p>
            <w:r>
              <w:rPr>
                <w:rFonts w:ascii="Calibri" w:hAnsi="Calibri"/>
                <w:sz w:val="22"/>
              </w:rPr>
              <w:t>-210 bps YoY</w:t>
            </w:r>
          </w:p>
        </w:tc>
        <w:tc>
          <w:tcPr>
            <w:tcW w:type="dxa" w:w="1234"/>
          </w:tcPr>
          <w:p>
            <w:r>
              <w:rPr>
                <w:rFonts w:ascii="Calibri" w:hAnsi="Calibri"/>
                <w:sz w:val="22"/>
              </w:rPr>
              <w:t>N/A (no specific Q2 sub guidance)</w:t>
            </w:r>
          </w:p>
        </w:tc>
        <w:tc>
          <w:tcPr>
            <w:tcW w:type="dxa" w:w="1234"/>
          </w:tcPr>
          <w:p>
            <w:r>
              <w:rPr>
                <w:rFonts w:ascii="Calibri" w:hAnsi="Calibri"/>
                <w:sz w:val="22"/>
              </w:rPr>
              <w:t>N/A</w:t>
            </w:r>
          </w:p>
        </w:tc>
      </w:tr>
      <w:tr>
        <w:tc>
          <w:tcPr>
            <w:tcW w:type="dxa" w:w="1234"/>
          </w:tcPr>
          <w:p>
            <w:r>
              <w:rPr>
                <w:rFonts w:ascii="Calibri" w:hAnsi="Calibri"/>
                <w:sz w:val="22"/>
              </w:rPr>
              <w:t>Transactional OCC Growth (%)</w:t>
            </w:r>
          </w:p>
        </w:tc>
        <w:tc>
          <w:tcPr>
            <w:tcW w:type="dxa" w:w="1234"/>
          </w:tcPr>
          <w:p>
            <w:r>
              <w:rPr>
                <w:rFonts w:ascii="Calibri" w:hAnsi="Calibri"/>
                <w:sz w:val="22"/>
              </w:rPr>
              <w:t>-6.1%</w:t>
            </w:r>
          </w:p>
        </w:tc>
        <w:tc>
          <w:tcPr>
            <w:tcW w:type="dxa" w:w="1234"/>
          </w:tcPr>
          <w:p>
            <w:r>
              <w:rPr>
                <w:rFonts w:ascii="Calibri" w:hAnsi="Calibri"/>
                <w:sz w:val="22"/>
              </w:rPr>
              <w:t>+1.8%</w:t>
            </w:r>
          </w:p>
        </w:tc>
        <w:tc>
          <w:tcPr>
            <w:tcW w:type="dxa" w:w="1234"/>
          </w:tcPr>
          <w:p>
            <w:r>
              <w:rPr>
                <w:rFonts w:ascii="Calibri" w:hAnsi="Calibri"/>
                <w:sz w:val="22"/>
              </w:rPr>
              <w:t>~-3.6%</w:t>
            </w:r>
          </w:p>
        </w:tc>
        <w:tc>
          <w:tcPr>
            <w:tcW w:type="dxa" w:w="1234"/>
          </w:tcPr>
          <w:p>
            <w:r>
              <w:rPr>
                <w:rFonts w:ascii="Calibri" w:hAnsi="Calibri"/>
                <w:sz w:val="22"/>
              </w:rPr>
              <w:t>Negative vs. +1.8% PY</w:t>
            </w:r>
          </w:p>
        </w:tc>
        <w:tc>
          <w:tcPr>
            <w:tcW w:type="dxa" w:w="1234"/>
          </w:tcPr>
          <w:p>
            <w:r>
              <w:rPr>
                <w:rFonts w:ascii="Calibri" w:hAnsi="Calibri"/>
                <w:sz w:val="22"/>
              </w:rPr>
              <w:t>N/A (weather-dependent)</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$326.4M</w:t>
            </w:r>
          </w:p>
        </w:tc>
        <w:tc>
          <w:tcPr>
            <w:tcW w:type="dxa" w:w="1234"/>
          </w:tcPr>
          <w:p>
            <w:r>
              <w:rPr>
                <w:rFonts w:ascii="Calibri" w:hAnsi="Calibri"/>
                <w:sz w:val="22"/>
              </w:rPr>
              <w:t>$188.7M</w:t>
            </w:r>
          </w:p>
        </w:tc>
        <w:tc>
          <w:tcPr>
            <w:tcW w:type="dxa" w:w="1234"/>
          </w:tcPr>
          <w:p>
            <w:r>
              <w:rPr>
                <w:rFonts w:ascii="Calibri" w:hAnsi="Calibri"/>
                <w:sz w:val="22"/>
              </w:rPr>
              <w:t>$208.7M</w:t>
            </w:r>
          </w:p>
        </w:tc>
        <w:tc>
          <w:tcPr>
            <w:tcW w:type="dxa" w:w="1234"/>
          </w:tcPr>
          <w:p>
            <w:r>
              <w:rPr>
                <w:rFonts w:ascii="Calibri" w:hAnsi="Calibri"/>
                <w:sz w:val="22"/>
              </w:rPr>
              <w:t>+10.6%</w:t>
            </w:r>
          </w:p>
        </w:tc>
        <w:tc>
          <w:tcPr>
            <w:tcW w:type="dxa" w:w="1234"/>
          </w:tcPr>
          <w:p>
            <w:r>
              <w:rPr>
                <w:rFonts w:ascii="Calibri" w:hAnsi="Calibri"/>
                <w:sz w:val="22"/>
              </w:rPr>
              <w:t>N/A (FY consensus ~$1,118M)</w:t>
            </w:r>
          </w:p>
        </w:tc>
        <w:tc>
          <w:tcPr>
            <w:tcW w:type="dxa" w:w="1234"/>
          </w:tcPr>
          <w:p>
            <w:r>
              <w:rPr>
                <w:rFonts w:ascii="Calibri" w:hAnsi="Calibri"/>
                <w:sz w:val="22"/>
              </w:rPr>
              <w:t>N/A</w:t>
            </w:r>
          </w:p>
        </w:tc>
      </w:tr>
    </w:tbl>
    <w:p>
      <w:r>
        <w:rPr>
          <w:rFonts w:ascii="Calibri" w:hAnsi="Calibri"/>
          <w:i/>
          <w:color w:val="525866"/>
          <w:sz w:val="22"/>
        </w:rPr>
        <w:t>Sources: Visible Alpha Consensus and Actuals Data (Revenue, EPS, EBITDA, OCC Growth, FCF); Q1 2026 Earnings Release (April 29, 2026); Q1 2026 Earnings Call Transcript (April 29, 2026). All consensus figures as of July 28, 2026.</w:t>
      </w:r>
    </w:p>
    <w:p>
      <w:pPr>
        <w:pStyle w:val="Heading3"/>
      </w:pPr>
      <w:r>
        <w:rPr>
          <w:rFonts w:ascii="Calibri" w:hAnsi="Calibri"/>
          <w:b/>
          <w:color w:val="3B4259"/>
          <w:sz w:val="24"/>
        </w:rPr>
        <w:t>Table 2 — Beat/Miss History: Last 8 Quarters (Revenue &amp; Adj. Operating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($M)</w:t>
            </w:r>
          </w:p>
        </w:tc>
        <w:tc>
          <w:tcPr>
            <w:tcW w:type="dxa" w:w="1080"/>
            <w:shd w:val="clear" w:color="auto" w:fill="3B4259"/>
          </w:tcPr>
          <w:p>
            <w:r>
              <w:rPr>
                <w:rFonts w:ascii="Calibri" w:hAnsi="Calibri"/>
                <w:b/>
                <w:color w:val="FFFFFF"/>
                <w:sz w:val="22"/>
              </w:rPr>
              <w:t>Revenue Consensus ($M)</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Adj. EPS Reported ($)</w:t>
            </w:r>
          </w:p>
        </w:tc>
        <w:tc>
          <w:tcPr>
            <w:tcW w:type="dxa" w:w="1080"/>
            <w:shd w:val="clear" w:color="auto" w:fill="3B4259"/>
          </w:tcPr>
          <w:p>
            <w:r>
              <w:rPr>
                <w:rFonts w:ascii="Calibri" w:hAnsi="Calibri"/>
                <w:b/>
                <w:color w:val="FFFFFF"/>
                <w:sz w:val="22"/>
              </w:rPr>
              <w:t>Adj. EPS Consensus ($)</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Q2 2024</w:t>
            </w:r>
          </w:p>
        </w:tc>
        <w:tc>
          <w:tcPr>
            <w:tcW w:type="dxa" w:w="1080"/>
          </w:tcPr>
          <w:p>
            <w:r>
              <w:rPr>
                <w:rFonts w:ascii="Calibri" w:hAnsi="Calibri"/>
                <w:sz w:val="22"/>
              </w:rPr>
              <w:t>$716.8M</w:t>
            </w:r>
          </w:p>
        </w:tc>
        <w:tc>
          <w:tcPr>
            <w:tcW w:type="dxa" w:w="1080"/>
          </w:tcPr>
          <w:p>
            <w:r>
              <w:rPr>
                <w:rFonts w:ascii="Calibri" w:hAnsi="Calibri"/>
                <w:sz w:val="22"/>
              </w:rPr>
              <w:t>$722.6M</w:t>
            </w:r>
          </w:p>
        </w:tc>
        <w:tc>
          <w:tcPr>
            <w:tcW w:type="dxa" w:w="1080"/>
          </w:tcPr>
          <w:p>
            <w:r>
              <w:rPr>
                <w:rFonts w:ascii="Calibri" w:hAnsi="Calibri"/>
                <w:b/>
                <w:color w:val="E5484D"/>
                <w:sz w:val="22"/>
              </w:rPr>
              <w:t>-0.8%</w:t>
            </w:r>
          </w:p>
        </w:tc>
        <w:tc>
          <w:tcPr>
            <w:tcW w:type="dxa" w:w="1080"/>
          </w:tcPr>
          <w:p>
            <w:r>
              <w:rPr>
                <w:rFonts w:ascii="Calibri" w:hAnsi="Calibri"/>
                <w:sz w:val="22"/>
              </w:rPr>
              <w:t>$1.74</w:t>
            </w:r>
          </w:p>
        </w:tc>
        <w:tc>
          <w:tcPr>
            <w:tcW w:type="dxa" w:w="1080"/>
          </w:tcPr>
          <w:p>
            <w:r>
              <w:rPr>
                <w:rFonts w:ascii="Calibri" w:hAnsi="Calibri"/>
                <w:sz w:val="22"/>
              </w:rPr>
              <w:t>$1.64</w:t>
            </w:r>
          </w:p>
        </w:tc>
        <w:tc>
          <w:tcPr>
            <w:tcW w:type="dxa" w:w="1080"/>
          </w:tcPr>
          <w:p>
            <w:r>
              <w:rPr>
                <w:rFonts w:ascii="Calibri" w:hAnsi="Calibri"/>
                <w:b/>
                <w:color w:val="30A46C"/>
                <w:sz w:val="22"/>
              </w:rPr>
              <w:t>+6.1%</w:t>
            </w:r>
          </w:p>
        </w:tc>
        <w:tc>
          <w:tcPr>
            <w:tcW w:type="dxa" w:w="1080"/>
          </w:tcPr>
          <w:p>
            <w:r>
              <w:rPr>
                <w:rFonts w:ascii="Calibri" w:hAnsi="Calibri"/>
                <w:sz w:val="22"/>
              </w:rPr>
              <w:t>Rev Miss / EPS Beat</w:t>
            </w:r>
          </w:p>
        </w:tc>
      </w:tr>
      <w:tr>
        <w:tc>
          <w:tcPr>
            <w:tcW w:type="dxa" w:w="1080"/>
          </w:tcPr>
          <w:p>
            <w:r>
              <w:rPr>
                <w:rFonts w:ascii="Calibri" w:hAnsi="Calibri"/>
                <w:sz w:val="22"/>
              </w:rPr>
              <w:t>Q3 2024</w:t>
            </w:r>
          </w:p>
        </w:tc>
        <w:tc>
          <w:tcPr>
            <w:tcW w:type="dxa" w:w="1080"/>
          </w:tcPr>
          <w:p>
            <w:r>
              <w:rPr>
                <w:rFonts w:ascii="Calibri" w:hAnsi="Calibri"/>
                <w:sz w:val="22"/>
              </w:rPr>
              <w:t>$725.3M</w:t>
            </w:r>
          </w:p>
        </w:tc>
        <w:tc>
          <w:tcPr>
            <w:tcW w:type="dxa" w:w="1080"/>
          </w:tcPr>
          <w:p>
            <w:r>
              <w:rPr>
                <w:rFonts w:ascii="Calibri" w:hAnsi="Calibri"/>
                <w:sz w:val="22"/>
              </w:rPr>
              <w:t>$721.9M</w:t>
            </w:r>
          </w:p>
        </w:tc>
        <w:tc>
          <w:tcPr>
            <w:tcW w:type="dxa" w:w="1080"/>
          </w:tcPr>
          <w:p>
            <w:r>
              <w:rPr>
                <w:rFonts w:ascii="Calibri" w:hAnsi="Calibri"/>
                <w:b/>
                <w:color w:val="30A46C"/>
                <w:sz w:val="22"/>
              </w:rPr>
              <w:t>+0.5%</w:t>
            </w:r>
          </w:p>
        </w:tc>
        <w:tc>
          <w:tcPr>
            <w:tcW w:type="dxa" w:w="1080"/>
          </w:tcPr>
          <w:p>
            <w:r>
              <w:rPr>
                <w:rFonts w:ascii="Calibri" w:hAnsi="Calibri"/>
                <w:sz w:val="22"/>
              </w:rPr>
              <w:t>$1.67</w:t>
            </w:r>
          </w:p>
        </w:tc>
        <w:tc>
          <w:tcPr>
            <w:tcW w:type="dxa" w:w="1080"/>
          </w:tcPr>
          <w:p>
            <w:r>
              <w:rPr>
                <w:rFonts w:ascii="Calibri" w:hAnsi="Calibri"/>
                <w:sz w:val="22"/>
              </w:rPr>
              <w:t>$1.60</w:t>
            </w:r>
          </w:p>
        </w:tc>
        <w:tc>
          <w:tcPr>
            <w:tcW w:type="dxa" w:w="1080"/>
          </w:tcPr>
          <w:p>
            <w:r>
              <w:rPr>
                <w:rFonts w:ascii="Calibri" w:hAnsi="Calibri"/>
                <w:b/>
                <w:color w:val="30A46C"/>
                <w:sz w:val="22"/>
              </w:rPr>
              <w:t>+4.4%</w:t>
            </w:r>
          </w:p>
        </w:tc>
        <w:tc>
          <w:tcPr>
            <w:tcW w:type="dxa" w:w="1080"/>
          </w:tcPr>
          <w:p>
            <w:r>
              <w:rPr>
                <w:rFonts w:ascii="Calibri" w:hAnsi="Calibri"/>
                <w:sz w:val="22"/>
              </w:rPr>
              <w:t>Beat / Beat</w:t>
            </w:r>
          </w:p>
        </w:tc>
      </w:tr>
      <w:tr>
        <w:tc>
          <w:tcPr>
            <w:tcW w:type="dxa" w:w="1080"/>
          </w:tcPr>
          <w:p>
            <w:r>
              <w:rPr>
                <w:rFonts w:ascii="Calibri" w:hAnsi="Calibri"/>
                <w:sz w:val="22"/>
              </w:rPr>
              <w:t>Q4 2024</w:t>
            </w:r>
          </w:p>
        </w:tc>
        <w:tc>
          <w:tcPr>
            <w:tcW w:type="dxa" w:w="1080"/>
          </w:tcPr>
          <w:p>
            <w:r>
              <w:rPr>
                <w:rFonts w:ascii="Calibri" w:hAnsi="Calibri"/>
                <w:sz w:val="22"/>
              </w:rPr>
              <w:t>$735.6M</w:t>
            </w:r>
          </w:p>
        </w:tc>
        <w:tc>
          <w:tcPr>
            <w:tcW w:type="dxa" w:w="1080"/>
          </w:tcPr>
          <w:p>
            <w:r>
              <w:rPr>
                <w:rFonts w:ascii="Calibri" w:hAnsi="Calibri"/>
                <w:sz w:val="22"/>
              </w:rPr>
              <w:t>$734.3M</w:t>
            </w:r>
          </w:p>
        </w:tc>
        <w:tc>
          <w:tcPr>
            <w:tcW w:type="dxa" w:w="1080"/>
          </w:tcPr>
          <w:p>
            <w:r>
              <w:rPr>
                <w:rFonts w:ascii="Calibri" w:hAnsi="Calibri"/>
                <w:b/>
                <w:color w:val="30A46C"/>
                <w:sz w:val="22"/>
              </w:rPr>
              <w:t>+0.2%</w:t>
            </w:r>
          </w:p>
        </w:tc>
        <w:tc>
          <w:tcPr>
            <w:tcW w:type="dxa" w:w="1080"/>
          </w:tcPr>
          <w:p>
            <w:r>
              <w:rPr>
                <w:rFonts w:ascii="Calibri" w:hAnsi="Calibri"/>
                <w:sz w:val="22"/>
              </w:rPr>
              <w:t>$1.61</w:t>
            </w:r>
          </w:p>
        </w:tc>
        <w:tc>
          <w:tcPr>
            <w:tcW w:type="dxa" w:w="1080"/>
          </w:tcPr>
          <w:p>
            <w:r>
              <w:rPr>
                <w:rFonts w:ascii="Calibri" w:hAnsi="Calibri"/>
                <w:sz w:val="22"/>
              </w:rPr>
              <w:t>$1.59</w:t>
            </w:r>
          </w:p>
        </w:tc>
        <w:tc>
          <w:tcPr>
            <w:tcW w:type="dxa" w:w="1080"/>
          </w:tcPr>
          <w:p>
            <w:r>
              <w:rPr>
                <w:rFonts w:ascii="Calibri" w:hAnsi="Calibri"/>
                <w:b/>
                <w:color w:val="30A46C"/>
                <w:sz w:val="22"/>
              </w:rPr>
              <w:t>+1.3%</w:t>
            </w:r>
          </w:p>
        </w:tc>
        <w:tc>
          <w:tcPr>
            <w:tcW w:type="dxa" w:w="1080"/>
          </w:tcPr>
          <w:p>
            <w:r>
              <w:rPr>
                <w:rFonts w:ascii="Calibri" w:hAnsi="Calibri"/>
                <w:sz w:val="22"/>
              </w:rPr>
              <w:t>Beat / Beat</w:t>
            </w:r>
          </w:p>
        </w:tc>
      </w:tr>
      <w:tr>
        <w:tc>
          <w:tcPr>
            <w:tcW w:type="dxa" w:w="1080"/>
          </w:tcPr>
          <w:p>
            <w:r>
              <w:rPr>
                <w:rFonts w:ascii="Calibri" w:hAnsi="Calibri"/>
                <w:sz w:val="22"/>
              </w:rPr>
              <w:t>Q1 2025</w:t>
            </w:r>
          </w:p>
        </w:tc>
        <w:tc>
          <w:tcPr>
            <w:tcW w:type="dxa" w:w="1080"/>
          </w:tcPr>
          <w:p>
            <w:r>
              <w:rPr>
                <w:rFonts w:ascii="Calibri" w:hAnsi="Calibri"/>
                <w:sz w:val="22"/>
              </w:rPr>
              <w:t>$753.0M</w:t>
            </w:r>
          </w:p>
        </w:tc>
        <w:tc>
          <w:tcPr>
            <w:tcW w:type="dxa" w:w="1080"/>
          </w:tcPr>
          <w:p>
            <w:r>
              <w:rPr>
                <w:rFonts w:ascii="Calibri" w:hAnsi="Calibri"/>
                <w:sz w:val="22"/>
              </w:rPr>
              <w:t>$750.8M</w:t>
            </w:r>
          </w:p>
        </w:tc>
        <w:tc>
          <w:tcPr>
            <w:tcW w:type="dxa" w:w="1080"/>
          </w:tcPr>
          <w:p>
            <w:r>
              <w:rPr>
                <w:rFonts w:ascii="Calibri" w:hAnsi="Calibri"/>
                <w:b/>
                <w:color w:val="30A46C"/>
                <w:sz w:val="22"/>
              </w:rPr>
              <w:t>+0.3%</w:t>
            </w:r>
          </w:p>
        </w:tc>
        <w:tc>
          <w:tcPr>
            <w:tcW w:type="dxa" w:w="1080"/>
          </w:tcPr>
          <w:p>
            <w:r>
              <w:rPr>
                <w:rFonts w:ascii="Calibri" w:hAnsi="Calibri"/>
                <w:sz w:val="22"/>
              </w:rPr>
              <w:t>$1.73</w:t>
            </w:r>
          </w:p>
        </w:tc>
        <w:tc>
          <w:tcPr>
            <w:tcW w:type="dxa" w:w="1080"/>
          </w:tcPr>
          <w:p>
            <w:r>
              <w:rPr>
                <w:rFonts w:ascii="Calibri" w:hAnsi="Calibri"/>
                <w:sz w:val="22"/>
              </w:rPr>
              <w:t>$1.68</w:t>
            </w:r>
          </w:p>
        </w:tc>
        <w:tc>
          <w:tcPr>
            <w:tcW w:type="dxa" w:w="1080"/>
          </w:tcPr>
          <w:p>
            <w:r>
              <w:rPr>
                <w:rFonts w:ascii="Calibri" w:hAnsi="Calibri"/>
                <w:b/>
                <w:color w:val="30A46C"/>
                <w:sz w:val="22"/>
              </w:rPr>
              <w:t>+3.0%</w:t>
            </w:r>
          </w:p>
        </w:tc>
        <w:tc>
          <w:tcPr>
            <w:tcW w:type="dxa" w:w="1080"/>
          </w:tcPr>
          <w:p>
            <w:r>
              <w:rPr>
                <w:rFonts w:ascii="Calibri" w:hAnsi="Calibri"/>
                <w:sz w:val="22"/>
              </w:rPr>
              <w:t>Beat / Beat</w:t>
            </w:r>
          </w:p>
        </w:tc>
      </w:tr>
      <w:tr>
        <w:tc>
          <w:tcPr>
            <w:tcW w:type="dxa" w:w="1080"/>
          </w:tcPr>
          <w:p>
            <w:r>
              <w:rPr>
                <w:rFonts w:ascii="Calibri" w:hAnsi="Calibri"/>
                <w:sz w:val="22"/>
              </w:rPr>
              <w:t>Q2 2025</w:t>
            </w:r>
          </w:p>
        </w:tc>
        <w:tc>
          <w:tcPr>
            <w:tcW w:type="dxa" w:w="1080"/>
          </w:tcPr>
          <w:p>
            <w:r>
              <w:rPr>
                <w:rFonts w:ascii="Calibri" w:hAnsi="Calibri"/>
                <w:sz w:val="22"/>
              </w:rPr>
              <w:t>$772.6M</w:t>
            </w:r>
          </w:p>
        </w:tc>
        <w:tc>
          <w:tcPr>
            <w:tcW w:type="dxa" w:w="1080"/>
          </w:tcPr>
          <w:p>
            <w:r>
              <w:rPr>
                <w:rFonts w:ascii="Calibri" w:hAnsi="Calibri"/>
                <w:sz w:val="22"/>
              </w:rPr>
              <w:t>$769.4M</w:t>
            </w:r>
          </w:p>
        </w:tc>
        <w:tc>
          <w:tcPr>
            <w:tcW w:type="dxa" w:w="1080"/>
          </w:tcPr>
          <w:p>
            <w:r>
              <w:rPr>
                <w:rFonts w:ascii="Calibri" w:hAnsi="Calibri"/>
                <w:b/>
                <w:color w:val="30A46C"/>
                <w:sz w:val="22"/>
              </w:rPr>
              <w:t>+0.4%</w:t>
            </w:r>
          </w:p>
        </w:tc>
        <w:tc>
          <w:tcPr>
            <w:tcW w:type="dxa" w:w="1080"/>
          </w:tcPr>
          <w:p>
            <w:r>
              <w:rPr>
                <w:rFonts w:ascii="Calibri" w:hAnsi="Calibri"/>
                <w:sz w:val="22"/>
              </w:rPr>
              <w:t>$1.88</w:t>
            </w:r>
          </w:p>
        </w:tc>
        <w:tc>
          <w:tcPr>
            <w:tcW w:type="dxa" w:w="1080"/>
          </w:tcPr>
          <w:p>
            <w:r>
              <w:rPr>
                <w:rFonts w:ascii="Calibri" w:hAnsi="Calibri"/>
                <w:sz w:val="22"/>
              </w:rPr>
              <w:t>$1.77</w:t>
            </w:r>
          </w:p>
        </w:tc>
        <w:tc>
          <w:tcPr>
            <w:tcW w:type="dxa" w:w="1080"/>
          </w:tcPr>
          <w:p>
            <w:r>
              <w:rPr>
                <w:rFonts w:ascii="Calibri" w:hAnsi="Calibri"/>
                <w:b/>
                <w:color w:val="30A46C"/>
                <w:sz w:val="22"/>
              </w:rPr>
              <w:t>+6.2%</w:t>
            </w:r>
          </w:p>
        </w:tc>
        <w:tc>
          <w:tcPr>
            <w:tcW w:type="dxa" w:w="1080"/>
          </w:tcPr>
          <w:p>
            <w:r>
              <w:rPr>
                <w:rFonts w:ascii="Calibri" w:hAnsi="Calibri"/>
                <w:sz w:val="22"/>
              </w:rPr>
              <w:t>Beat / Beat</w:t>
            </w:r>
          </w:p>
        </w:tc>
      </w:tr>
      <w:tr>
        <w:tc>
          <w:tcPr>
            <w:tcW w:type="dxa" w:w="1080"/>
          </w:tcPr>
          <w:p>
            <w:r>
              <w:rPr>
                <w:rFonts w:ascii="Calibri" w:hAnsi="Calibri"/>
                <w:sz w:val="22"/>
              </w:rPr>
              <w:t>Q3 2025</w:t>
            </w:r>
          </w:p>
        </w:tc>
        <w:tc>
          <w:tcPr>
            <w:tcW w:type="dxa" w:w="1080"/>
          </w:tcPr>
          <w:p>
            <w:r>
              <w:rPr>
                <w:rFonts w:ascii="Calibri" w:hAnsi="Calibri"/>
                <w:sz w:val="22"/>
              </w:rPr>
              <w:t>$768.3M</w:t>
            </w:r>
          </w:p>
        </w:tc>
        <w:tc>
          <w:tcPr>
            <w:tcW w:type="dxa" w:w="1080"/>
          </w:tcPr>
          <w:p>
            <w:r>
              <w:rPr>
                <w:rFonts w:ascii="Calibri" w:hAnsi="Calibri"/>
                <w:sz w:val="22"/>
              </w:rPr>
              <w:t>$776.8M</w:t>
            </w:r>
          </w:p>
        </w:tc>
        <w:tc>
          <w:tcPr>
            <w:tcW w:type="dxa" w:w="1080"/>
          </w:tcPr>
          <w:p>
            <w:r>
              <w:rPr>
                <w:rFonts w:ascii="Calibri" w:hAnsi="Calibri"/>
                <w:b/>
                <w:color w:val="E5484D"/>
                <w:sz w:val="22"/>
              </w:rPr>
              <w:t>-1.1%</w:t>
            </w:r>
          </w:p>
        </w:tc>
        <w:tc>
          <w:tcPr>
            <w:tcW w:type="dxa" w:w="1080"/>
          </w:tcPr>
          <w:p>
            <w:r>
              <w:rPr>
                <w:rFonts w:ascii="Calibri" w:hAnsi="Calibri"/>
                <w:sz w:val="22"/>
              </w:rPr>
              <w:t>$1.72</w:t>
            </w:r>
          </w:p>
        </w:tc>
        <w:tc>
          <w:tcPr>
            <w:tcW w:type="dxa" w:w="1080"/>
          </w:tcPr>
          <w:p>
            <w:r>
              <w:rPr>
                <w:rFonts w:ascii="Calibri" w:hAnsi="Calibri"/>
                <w:sz w:val="22"/>
              </w:rPr>
              <w:t>$1.71</w:t>
            </w:r>
          </w:p>
        </w:tc>
        <w:tc>
          <w:tcPr>
            <w:tcW w:type="dxa" w:w="1080"/>
          </w:tcPr>
          <w:p>
            <w:r>
              <w:rPr>
                <w:rFonts w:ascii="Calibri" w:hAnsi="Calibri"/>
                <w:b/>
                <w:color w:val="30A46C"/>
                <w:sz w:val="22"/>
              </w:rPr>
              <w:t>+0.6%</w:t>
            </w:r>
          </w:p>
        </w:tc>
        <w:tc>
          <w:tcPr>
            <w:tcW w:type="dxa" w:w="1080"/>
          </w:tcPr>
          <w:p>
            <w:r>
              <w:rPr>
                <w:rFonts w:ascii="Calibri" w:hAnsi="Calibri"/>
                <w:sz w:val="22"/>
              </w:rPr>
              <w:t>Rev Miss / EPS Beat</w:t>
            </w:r>
          </w:p>
        </w:tc>
      </w:tr>
      <w:tr>
        <w:tc>
          <w:tcPr>
            <w:tcW w:type="dxa" w:w="1080"/>
          </w:tcPr>
          <w:p>
            <w:r>
              <w:rPr>
                <w:rFonts w:ascii="Calibri" w:hAnsi="Calibri"/>
                <w:sz w:val="22"/>
              </w:rPr>
              <w:t>Q4 2025</w:t>
            </w:r>
          </w:p>
        </w:tc>
        <w:tc>
          <w:tcPr>
            <w:tcW w:type="dxa" w:w="1080"/>
          </w:tcPr>
          <w:p>
            <w:r>
              <w:rPr>
                <w:rFonts w:ascii="Calibri" w:hAnsi="Calibri"/>
                <w:sz w:val="22"/>
              </w:rPr>
              <w:t>$778.8M</w:t>
            </w:r>
          </w:p>
        </w:tc>
        <w:tc>
          <w:tcPr>
            <w:tcW w:type="dxa" w:w="1080"/>
          </w:tcPr>
          <w:p>
            <w:r>
              <w:rPr>
                <w:rFonts w:ascii="Calibri" w:hAnsi="Calibri"/>
                <w:sz w:val="22"/>
              </w:rPr>
              <w:t>$773.5M</w:t>
            </w:r>
          </w:p>
        </w:tc>
        <w:tc>
          <w:tcPr>
            <w:tcW w:type="dxa" w:w="1080"/>
          </w:tcPr>
          <w:p>
            <w:r>
              <w:rPr>
                <w:rFonts w:ascii="Calibri" w:hAnsi="Calibri"/>
                <w:b/>
                <w:color w:val="30A46C"/>
                <w:sz w:val="22"/>
              </w:rPr>
              <w:t>+0.7%</w:t>
            </w:r>
          </w:p>
        </w:tc>
        <w:tc>
          <w:tcPr>
            <w:tcW w:type="dxa" w:w="1080"/>
          </w:tcPr>
          <w:p>
            <w:r>
              <w:rPr>
                <w:rFonts w:ascii="Calibri" w:hAnsi="Calibri"/>
                <w:sz w:val="22"/>
              </w:rPr>
              <w:t>$1.82</w:t>
            </w:r>
          </w:p>
        </w:tc>
        <w:tc>
          <w:tcPr>
            <w:tcW w:type="dxa" w:w="1080"/>
          </w:tcPr>
          <w:p>
            <w:r>
              <w:rPr>
                <w:rFonts w:ascii="Calibri" w:hAnsi="Calibri"/>
                <w:sz w:val="22"/>
              </w:rPr>
              <w:t>$1.60</w:t>
            </w:r>
          </w:p>
        </w:tc>
        <w:tc>
          <w:tcPr>
            <w:tcW w:type="dxa" w:w="1080"/>
          </w:tcPr>
          <w:p>
            <w:r>
              <w:rPr>
                <w:rFonts w:ascii="Calibri" w:hAnsi="Calibri"/>
                <w:b/>
                <w:color w:val="30A46C"/>
                <w:sz w:val="22"/>
              </w:rPr>
              <w:t>+13.8%</w:t>
            </w:r>
          </w:p>
        </w:tc>
        <w:tc>
          <w:tcPr>
            <w:tcW w:type="dxa" w:w="1080"/>
          </w:tcPr>
          <w:p>
            <w:r>
              <w:rPr>
                <w:rFonts w:ascii="Calibri" w:hAnsi="Calibri"/>
                <w:sz w:val="22"/>
              </w:rPr>
              <w:t>Beat / Beat</w:t>
            </w:r>
          </w:p>
        </w:tc>
      </w:tr>
      <w:tr>
        <w:tc>
          <w:tcPr>
            <w:tcW w:type="dxa" w:w="1080"/>
          </w:tcPr>
          <w:p>
            <w:r>
              <w:rPr>
                <w:rFonts w:ascii="Calibri" w:hAnsi="Calibri"/>
                <w:sz w:val="22"/>
              </w:rPr>
              <w:t>Q1 2026</w:t>
            </w:r>
          </w:p>
        </w:tc>
        <w:tc>
          <w:tcPr>
            <w:tcW w:type="dxa" w:w="1080"/>
          </w:tcPr>
          <w:p>
            <w:r>
              <w:rPr>
                <w:rFonts w:ascii="Calibri" w:hAnsi="Calibri"/>
                <w:sz w:val="22"/>
              </w:rPr>
              <w:t>$782.6M</w:t>
            </w:r>
          </w:p>
        </w:tc>
        <w:tc>
          <w:tcPr>
            <w:tcW w:type="dxa" w:w="1080"/>
          </w:tcPr>
          <w:p>
            <w:r>
              <w:rPr>
                <w:rFonts w:ascii="Calibri" w:hAnsi="Calibri"/>
                <w:sz w:val="22"/>
              </w:rPr>
              <w:t>$772.6M</w:t>
            </w:r>
          </w:p>
        </w:tc>
        <w:tc>
          <w:tcPr>
            <w:tcW w:type="dxa" w:w="1080"/>
          </w:tcPr>
          <w:p>
            <w:r>
              <w:rPr>
                <w:rFonts w:ascii="Calibri" w:hAnsi="Calibri"/>
                <w:b/>
                <w:color w:val="30A46C"/>
                <w:sz w:val="22"/>
              </w:rPr>
              <w:t>+1.3%</w:t>
            </w:r>
          </w:p>
        </w:tc>
        <w:tc>
          <w:tcPr>
            <w:tcW w:type="dxa" w:w="1080"/>
          </w:tcPr>
          <w:p>
            <w:r>
              <w:rPr>
                <w:rFonts w:ascii="Calibri" w:hAnsi="Calibri"/>
                <w:sz w:val="22"/>
              </w:rPr>
              <w:t>$1.82</w:t>
            </w:r>
          </w:p>
        </w:tc>
        <w:tc>
          <w:tcPr>
            <w:tcW w:type="dxa" w:w="1080"/>
          </w:tcPr>
          <w:p>
            <w:r>
              <w:rPr>
                <w:rFonts w:ascii="Calibri" w:hAnsi="Calibri"/>
                <w:sz w:val="22"/>
              </w:rPr>
              <w:t>$1.74</w:t>
            </w:r>
          </w:p>
        </w:tc>
        <w:tc>
          <w:tcPr>
            <w:tcW w:type="dxa" w:w="1080"/>
          </w:tcPr>
          <w:p>
            <w:r>
              <w:rPr>
                <w:rFonts w:ascii="Calibri" w:hAnsi="Calibri"/>
                <w:b/>
                <w:color w:val="30A46C"/>
                <w:sz w:val="22"/>
              </w:rPr>
              <w:t>+4.6%</w:t>
            </w:r>
          </w:p>
        </w:tc>
        <w:tc>
          <w:tcPr>
            <w:tcW w:type="dxa" w:w="1080"/>
          </w:tcPr>
          <w:p>
            <w:r>
              <w:rPr>
                <w:rFonts w:ascii="Calibri" w:hAnsi="Calibri"/>
                <w:sz w:val="22"/>
              </w:rPr>
              <w:t>Beat / Beat</w:t>
            </w:r>
          </w:p>
        </w:tc>
      </w:tr>
    </w:tbl>
    <w:p>
      <w:r>
        <w:rPr>
          <w:rFonts w:ascii="Calibri" w:hAnsi="Calibri"/>
          <w:b/>
          <w:color w:val="525866"/>
          <w:sz w:val="22"/>
        </w:rPr>
        <w:t xml:space="preserve">Pattern: </w:t>
      </w:r>
      <w:r>
        <w:rPr>
          <w:rFonts w:ascii="Calibri" w:hAnsi="Calibri"/>
          <w:color w:val="525866"/>
          <w:sz w:val="22"/>
        </w:rPr>
        <w:t>VRSK has beaten adjusted EPS consensus in all 8 of the last 8 quarters, with an average EPS surprise of ~+5.1%. Revenue beats are less consistent (6 of 8), with the two misses driven by weather-related transactional revenue shortfalls (Q2 2024, Q3 2025). The consistent EPS beat pattern reflects strong cost discipline and buyback tailwinds even when revenue disappoints.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was reaffirmed in full at Q1 earnings (April 29) and has not been formally revised since. </w:t>
      </w:r>
      <w:r>
        <w:rPr>
          <w:rFonts w:ascii="Calibri" w:hAnsi="Calibri"/>
          <w:b/>
          <w:color w:val="525866"/>
          <w:sz w:val="22"/>
        </w:rPr>
        <w:t>Management tone has shifted modestly more constructive since Q1</w:t>
      </w:r>
      <w:r>
        <w:rPr>
          <w:rFonts w:ascii="Calibri" w:hAnsi="Calibri"/>
          <w:color w:val="525866"/>
          <w:sz w:val="22"/>
        </w:rPr>
        <w:t xml:space="preserve"> — at Bernstein (May 28) and William Blair (June 2), CEO Shavel confirmed Q1 was the trough and expressed confidence in building momentum through Q2 and into H2, though no specific Q2 numerical guidance was provided.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(Jul 28)</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$3,190M – $3,240M</w:t>
            </w:r>
          </w:p>
        </w:tc>
        <w:tc>
          <w:tcPr>
            <w:tcW w:type="dxa" w:w="1728"/>
          </w:tcPr>
          <w:p>
            <w:r>
              <w:rPr>
                <w:rFonts w:ascii="Calibri" w:hAnsi="Calibri"/>
                <w:sz w:val="22"/>
              </w:rPr>
              <w:t>—</w:t>
            </w:r>
          </w:p>
        </w:tc>
        <w:tc>
          <w:tcPr>
            <w:tcW w:type="dxa" w:w="1728"/>
          </w:tcPr>
          <w:p>
            <w:r>
              <w:rPr>
                <w:rFonts w:ascii="Calibri" w:hAnsi="Calibri"/>
                <w:sz w:val="22"/>
              </w:rPr>
              <w:t>$3,223M</w:t>
            </w:r>
          </w:p>
        </w:tc>
        <w:tc>
          <w:tcPr>
            <w:tcW w:type="dxa" w:w="1728"/>
          </w:tcPr>
          <w:p>
            <w:r>
              <w:rPr>
                <w:rFonts w:ascii="Calibri" w:hAnsi="Calibri"/>
                <w:sz w:val="22"/>
              </w:rPr>
              <w:t>Unchanged; consensus sits near midpoint</w:t>
            </w:r>
          </w:p>
        </w:tc>
      </w:tr>
      <w:tr>
        <w:tc>
          <w:tcPr>
            <w:tcW w:type="dxa" w:w="1728"/>
          </w:tcPr>
          <w:p>
            <w:r>
              <w:rPr>
                <w:rFonts w:ascii="Calibri" w:hAnsi="Calibri"/>
                <w:sz w:val="22"/>
              </w:rPr>
              <w:t>FY 2026 Adj. EBITDA</w:t>
            </w:r>
          </w:p>
        </w:tc>
        <w:tc>
          <w:tcPr>
            <w:tcW w:type="dxa" w:w="1728"/>
          </w:tcPr>
          <w:p>
            <w:r>
              <w:rPr>
                <w:rFonts w:ascii="Calibri" w:hAnsi="Calibri"/>
                <w:sz w:val="22"/>
              </w:rPr>
              <w:t>$1,790M – $1,830M</w:t>
            </w:r>
          </w:p>
        </w:tc>
        <w:tc>
          <w:tcPr>
            <w:tcW w:type="dxa" w:w="1728"/>
          </w:tcPr>
          <w:p>
            <w:r>
              <w:rPr>
                <w:rFonts w:ascii="Calibri" w:hAnsi="Calibri"/>
                <w:sz w:val="22"/>
              </w:rPr>
              <w:t>—</w:t>
            </w:r>
          </w:p>
        </w:tc>
        <w:tc>
          <w:tcPr>
            <w:tcW w:type="dxa" w:w="1728"/>
          </w:tcPr>
          <w:p>
            <w:r>
              <w:rPr>
                <w:rFonts w:ascii="Calibri" w:hAnsi="Calibri"/>
                <w:sz w:val="22"/>
              </w:rPr>
              <w:t>$1,818M</w:t>
            </w:r>
          </w:p>
        </w:tc>
        <w:tc>
          <w:tcPr>
            <w:tcW w:type="dxa" w:w="1728"/>
          </w:tcPr>
          <w:p>
            <w:r>
              <w:rPr>
                <w:rFonts w:ascii="Calibri" w:hAnsi="Calibri"/>
                <w:sz w:val="22"/>
              </w:rPr>
              <w:t>Unchanged; consensus slightly above midpoint</w:t>
            </w:r>
          </w:p>
        </w:tc>
      </w:tr>
      <w:tr>
        <w:tc>
          <w:tcPr>
            <w:tcW w:type="dxa" w:w="1728"/>
          </w:tcPr>
          <w:p>
            <w:r>
              <w:rPr>
                <w:rFonts w:ascii="Calibri" w:hAnsi="Calibri"/>
                <w:sz w:val="22"/>
              </w:rPr>
              <w:t>FY 2026 Adj. EBITDA Margin</w:t>
            </w:r>
          </w:p>
        </w:tc>
        <w:tc>
          <w:tcPr>
            <w:tcW w:type="dxa" w:w="1728"/>
          </w:tcPr>
          <w:p>
            <w:r>
              <w:rPr>
                <w:rFonts w:ascii="Calibri" w:hAnsi="Calibri"/>
                <w:sz w:val="22"/>
              </w:rPr>
              <w:t>56.0% – 56.5%</w:t>
            </w:r>
          </w:p>
        </w:tc>
        <w:tc>
          <w:tcPr>
            <w:tcW w:type="dxa" w:w="1728"/>
          </w:tcPr>
          <w:p>
            <w:r>
              <w:rPr>
                <w:rFonts w:ascii="Calibri" w:hAnsi="Calibri"/>
                <w:sz w:val="22"/>
              </w:rPr>
              <w:t>—</w:t>
            </w:r>
          </w:p>
        </w:tc>
        <w:tc>
          <w:tcPr>
            <w:tcW w:type="dxa" w:w="1728"/>
          </w:tcPr>
          <w:p>
            <w:r>
              <w:rPr>
                <w:rFonts w:ascii="Calibri" w:hAnsi="Calibri"/>
                <w:sz w:val="22"/>
              </w:rPr>
              <w:t>~56.4%</w:t>
            </w:r>
          </w:p>
        </w:tc>
        <w:tc>
          <w:tcPr>
            <w:tcW w:type="dxa" w:w="1728"/>
          </w:tcPr>
          <w:p>
            <w:r>
              <w:rPr>
                <w:rFonts w:ascii="Calibri" w:hAnsi="Calibri"/>
                <w:sz w:val="22"/>
              </w:rPr>
              <w:t>Unchanged; consensus near top of range</w:t>
            </w:r>
          </w:p>
        </w:tc>
      </w:tr>
      <w:tr>
        <w:tc>
          <w:tcPr>
            <w:tcW w:type="dxa" w:w="1728"/>
          </w:tcPr>
          <w:p>
            <w:r>
              <w:rPr>
                <w:rFonts w:ascii="Calibri" w:hAnsi="Calibri"/>
                <w:sz w:val="22"/>
              </w:rPr>
              <w:t>FY 2026 Diluted Adj. EPS</w:t>
            </w:r>
          </w:p>
        </w:tc>
        <w:tc>
          <w:tcPr>
            <w:tcW w:type="dxa" w:w="1728"/>
          </w:tcPr>
          <w:p>
            <w:r>
              <w:rPr>
                <w:rFonts w:ascii="Calibri" w:hAnsi="Calibri"/>
                <w:sz w:val="22"/>
              </w:rPr>
              <w:t>$7.45 – $7.75</w:t>
            </w:r>
          </w:p>
        </w:tc>
        <w:tc>
          <w:tcPr>
            <w:tcW w:type="dxa" w:w="1728"/>
          </w:tcPr>
          <w:p>
            <w:r>
              <w:rPr>
                <w:rFonts w:ascii="Calibri" w:hAnsi="Calibri"/>
                <w:sz w:val="22"/>
              </w:rPr>
              <w:t>—</w:t>
            </w:r>
          </w:p>
        </w:tc>
        <w:tc>
          <w:tcPr>
            <w:tcW w:type="dxa" w:w="1728"/>
          </w:tcPr>
          <w:p>
            <w:r>
              <w:rPr>
                <w:rFonts w:ascii="Calibri" w:hAnsi="Calibri"/>
                <w:sz w:val="22"/>
              </w:rPr>
              <w:t>$7.67</w:t>
            </w:r>
          </w:p>
        </w:tc>
        <w:tc>
          <w:tcPr>
            <w:tcW w:type="dxa" w:w="1728"/>
          </w:tcPr>
          <w:p>
            <w:r>
              <w:rPr>
                <w:rFonts w:ascii="Calibri" w:hAnsi="Calibri"/>
                <w:sz w:val="22"/>
              </w:rPr>
              <w:t>Unchanged; consensus above midpoint ($7.60)</w:t>
            </w:r>
          </w:p>
        </w:tc>
      </w:tr>
      <w:tr>
        <w:tc>
          <w:tcPr>
            <w:tcW w:type="dxa" w:w="1728"/>
          </w:tcPr>
          <w:p>
            <w:r>
              <w:rPr>
                <w:rFonts w:ascii="Calibri" w:hAnsi="Calibri"/>
                <w:sz w:val="22"/>
              </w:rPr>
              <w:t>FY 2026 CapEx</w:t>
            </w:r>
          </w:p>
        </w:tc>
        <w:tc>
          <w:tcPr>
            <w:tcW w:type="dxa" w:w="1728"/>
          </w:tcPr>
          <w:p>
            <w:r>
              <w:rPr>
                <w:rFonts w:ascii="Calibri" w:hAnsi="Calibri"/>
                <w:sz w:val="22"/>
              </w:rPr>
              <w:t>$260M – $280M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FY 2026 Net Interest Expense</w:t>
            </w:r>
          </w:p>
        </w:tc>
        <w:tc>
          <w:tcPr>
            <w:tcW w:type="dxa" w:w="1728"/>
          </w:tcPr>
          <w:p>
            <w:r>
              <w:rPr>
                <w:rFonts w:ascii="Calibri" w:hAnsi="Calibri"/>
                <w:sz w:val="22"/>
              </w:rPr>
              <w:t>$190M – $200M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FY 2026 Effective Tax Rate</w:t>
            </w:r>
          </w:p>
        </w:tc>
        <w:tc>
          <w:tcPr>
            <w:tcW w:type="dxa" w:w="1728"/>
          </w:tcPr>
          <w:p>
            <w:r>
              <w:rPr>
                <w:rFonts w:ascii="Calibri" w:hAnsi="Calibri"/>
                <w:sz w:val="22"/>
              </w:rPr>
              <w:t>23.0% – 26.0%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Q2 2026 OCC Growth (qualitative)</w:t>
            </w:r>
          </w:p>
        </w:tc>
        <w:tc>
          <w:tcPr>
            <w:tcW w:type="dxa" w:w="1728"/>
          </w:tcPr>
          <w:p>
            <w:r>
              <w:rPr>
                <w:rFonts w:ascii="Calibri" w:hAnsi="Calibri"/>
                <w:sz w:val="22"/>
              </w:rPr>
              <w:t>May still fall below 6–8% LT range (CFO, Apr 29)</w:t>
            </w:r>
          </w:p>
        </w:tc>
        <w:tc>
          <w:tcPr>
            <w:tcW w:type="dxa" w:w="1728"/>
          </w:tcPr>
          <w:p>
            <w:r>
              <w:rPr>
                <w:rFonts w:ascii="Calibri" w:hAnsi="Calibri"/>
                <w:sz w:val="22"/>
              </w:rPr>
              <w:t>→ Upgraded to 'continued momentum' (CEO, May 28 Bernstein)</w:t>
            </w:r>
          </w:p>
        </w:tc>
        <w:tc>
          <w:tcPr>
            <w:tcW w:type="dxa" w:w="1728"/>
          </w:tcPr>
          <w:p>
            <w:r>
              <w:rPr>
                <w:rFonts w:ascii="Calibri" w:hAnsi="Calibri"/>
                <w:sz w:val="22"/>
              </w:rPr>
              <w:t>~5.3% consensus</w:t>
            </w:r>
          </w:p>
        </w:tc>
        <w:tc>
          <w:tcPr>
            <w:tcW w:type="dxa" w:w="1728"/>
          </w:tcPr>
          <w:p>
            <w:r>
              <w:rPr>
                <w:rFonts w:ascii="Calibri" w:hAnsi="Calibri"/>
                <w:sz w:val="22"/>
              </w:rPr>
              <w:t>↑ Tone improved post-Q1; CEO confirmed Q1 was trough at Bernstein (May 28, 2026)</w:t>
            </w:r>
          </w:p>
        </w:tc>
      </w:tr>
    </w:tbl>
    <w:p>
      <w:r>
        <w:rPr>
          <w:rFonts w:ascii="Calibri" w:hAnsi="Calibri"/>
          <w:i/>
          <w:color w:val="525866"/>
          <w:sz w:val="22"/>
        </w:rPr>
        <w:t>Sources: Q1 2026 Earnings Release and Transcript (April 29, 2026); Bernstein 42nd Annual Strategic Decisions Conference Transcript (May 28, 2026); William Blair Growth Stock Conference Transcript (June 2,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and FY 2026 have been remarkably stable since the Q1 print — revenue and EPS consensus have drifted only marginally since the April 29 baseline. </w:t>
      </w:r>
      <w:r>
        <w:rPr>
          <w:rFonts w:ascii="Calibri" w:hAnsi="Calibri"/>
          <w:b/>
          <w:color w:val="525866"/>
          <w:sz w:val="22"/>
        </w:rPr>
        <w:t>The lack of meaningful downward revision despite management's cautious Q2 language suggests the street has already priced in the trough</w:t>
      </w:r>
      <w:r>
        <w:rPr>
          <w:rFonts w:ascii="Calibri" w:hAnsi="Calibri"/>
          <w:color w:val="525866"/>
          <w:sz w:val="22"/>
        </w:rPr>
        <w:t>, and any upside from weather normalization or subscription acceleration would be incremental to current expectations.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Revenue — Q2 2026</w:t>
            </w:r>
          </w:p>
        </w:tc>
        <w:tc>
          <w:tcPr>
            <w:tcW w:type="dxa" w:w="1080"/>
          </w:tcPr>
          <w:p>
            <w:r>
              <w:rPr>
                <w:rFonts w:ascii="Calibri" w:hAnsi="Calibri"/>
                <w:sz w:val="22"/>
              </w:rPr>
              <w:t>$801.8M</w:t>
            </w:r>
          </w:p>
        </w:tc>
        <w:tc>
          <w:tcPr>
            <w:tcW w:type="dxa" w:w="1080"/>
          </w:tcPr>
          <w:p>
            <w:r>
              <w:rPr>
                <w:rFonts w:ascii="Calibri" w:hAnsi="Calibri"/>
                <w:sz w:val="22"/>
              </w:rPr>
              <w:t>$804.5M</w:t>
            </w:r>
          </w:p>
        </w:tc>
        <w:tc>
          <w:tcPr>
            <w:tcW w:type="dxa" w:w="1080"/>
          </w:tcPr>
          <w:p>
            <w:r>
              <w:rPr>
                <w:rFonts w:ascii="Calibri" w:hAnsi="Calibri"/>
                <w:sz w:val="22"/>
              </w:rPr>
              <w:t>+0.3%</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$3,216.8M</w:t>
            </w:r>
          </w:p>
        </w:tc>
        <w:tc>
          <w:tcPr>
            <w:tcW w:type="dxa" w:w="1080"/>
          </w:tcPr>
          <w:p>
            <w:r>
              <w:rPr>
                <w:rFonts w:ascii="Calibri" w:hAnsi="Calibri"/>
                <w:sz w:val="22"/>
              </w:rPr>
              <w:t>$3,223.1M</w:t>
            </w:r>
          </w:p>
        </w:tc>
        <w:tc>
          <w:tcPr>
            <w:tcW w:type="dxa" w:w="1080"/>
          </w:tcPr>
          <w:p>
            <w:r>
              <w:rPr>
                <w:rFonts w:ascii="Calibri" w:hAnsi="Calibri"/>
                <w:sz w:val="22"/>
              </w:rPr>
              <w:t>+0.2%</w:t>
            </w:r>
          </w:p>
        </w:tc>
        <w:tc>
          <w:tcPr>
            <w:tcW w:type="dxa" w:w="1080"/>
          </w:tcPr>
          <w:p>
            <w:r>
              <w:rPr>
                <w:rFonts w:ascii="Calibri" w:hAnsi="Calibri"/>
                <w:sz w:val="22"/>
              </w:rPr>
              <w:t>$3,190–$3,240M</w:t>
            </w:r>
          </w:p>
        </w:tc>
        <w:tc>
          <w:tcPr>
            <w:tcW w:type="dxa" w:w="1080"/>
          </w:tcPr>
          <w:p>
            <w:r>
              <w:rPr>
                <w:rFonts w:ascii="Calibri" w:hAnsi="Calibri"/>
                <w:sz w:val="22"/>
              </w:rPr>
              <w:t>$3,190–$3,240M (unchanged)</w:t>
            </w:r>
          </w:p>
        </w:tc>
        <w:tc>
          <w:tcPr>
            <w:tcW w:type="dxa" w:w="1080"/>
          </w:tcPr>
          <w:p>
            <w:r>
              <w:rPr>
                <w:rFonts w:ascii="Calibri" w:hAnsi="Calibri"/>
                <w:sz w:val="22"/>
              </w:rPr>
              <w:t>0%</w:t>
            </w:r>
          </w:p>
        </w:tc>
        <w:tc>
          <w:tcPr>
            <w:tcW w:type="dxa" w:w="1080"/>
          </w:tcPr>
          <w:p>
            <w:r>
              <w:rPr>
                <w:rFonts w:ascii="Calibri" w:hAnsi="Calibri"/>
                <w:sz w:val="22"/>
              </w:rPr>
              <w:t>+0.2% above midpoint</w:t>
            </w:r>
          </w:p>
        </w:tc>
      </w:tr>
      <w:tr>
        <w:tc>
          <w:tcPr>
            <w:tcW w:type="dxa" w:w="1080"/>
          </w:tcPr>
          <w:p>
            <w:r>
              <w:rPr>
                <w:rFonts w:ascii="Calibri" w:hAnsi="Calibri"/>
                <w:sz w:val="22"/>
              </w:rPr>
              <w:t>Adj. Operating EPS — Q2 2026</w:t>
            </w:r>
          </w:p>
        </w:tc>
        <w:tc>
          <w:tcPr>
            <w:tcW w:type="dxa" w:w="1080"/>
          </w:tcPr>
          <w:p>
            <w:r>
              <w:rPr>
                <w:rFonts w:ascii="Calibri" w:hAnsi="Calibri"/>
                <w:sz w:val="22"/>
              </w:rPr>
              <w:t>$1.91</w:t>
            </w:r>
          </w:p>
        </w:tc>
        <w:tc>
          <w:tcPr>
            <w:tcW w:type="dxa" w:w="1080"/>
          </w:tcPr>
          <w:p>
            <w:r>
              <w:rPr>
                <w:rFonts w:ascii="Calibri" w:hAnsi="Calibri"/>
                <w:sz w:val="22"/>
              </w:rPr>
              <w:t>$1.93</w:t>
            </w:r>
          </w:p>
        </w:tc>
        <w:tc>
          <w:tcPr>
            <w:tcW w:type="dxa" w:w="1080"/>
          </w:tcPr>
          <w:p>
            <w:r>
              <w:rPr>
                <w:rFonts w:ascii="Calibri" w:hAnsi="Calibri"/>
                <w:sz w:val="22"/>
              </w:rPr>
              <w:t>+1.0%</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FY 2026</w:t>
            </w:r>
          </w:p>
        </w:tc>
        <w:tc>
          <w:tcPr>
            <w:tcW w:type="dxa" w:w="1080"/>
          </w:tcPr>
          <w:p>
            <w:r>
              <w:rPr>
                <w:rFonts w:ascii="Calibri" w:hAnsi="Calibri"/>
                <w:sz w:val="22"/>
              </w:rPr>
              <w:t>$7.65</w:t>
            </w:r>
          </w:p>
        </w:tc>
        <w:tc>
          <w:tcPr>
            <w:tcW w:type="dxa" w:w="1080"/>
          </w:tcPr>
          <w:p>
            <w:r>
              <w:rPr>
                <w:rFonts w:ascii="Calibri" w:hAnsi="Calibri"/>
                <w:sz w:val="22"/>
              </w:rPr>
              <w:t>$7.67</w:t>
            </w:r>
          </w:p>
        </w:tc>
        <w:tc>
          <w:tcPr>
            <w:tcW w:type="dxa" w:w="1080"/>
          </w:tcPr>
          <w:p>
            <w:r>
              <w:rPr>
                <w:rFonts w:ascii="Calibri" w:hAnsi="Calibri"/>
                <w:sz w:val="22"/>
              </w:rPr>
              <w:t>+0.3%</w:t>
            </w:r>
          </w:p>
        </w:tc>
        <w:tc>
          <w:tcPr>
            <w:tcW w:type="dxa" w:w="1080"/>
          </w:tcPr>
          <w:p>
            <w:r>
              <w:rPr>
                <w:rFonts w:ascii="Calibri" w:hAnsi="Calibri"/>
                <w:sz w:val="22"/>
              </w:rPr>
              <w:t>$7.45–$7.75</w:t>
            </w:r>
          </w:p>
        </w:tc>
        <w:tc>
          <w:tcPr>
            <w:tcW w:type="dxa" w:w="1080"/>
          </w:tcPr>
          <w:p>
            <w:r>
              <w:rPr>
                <w:rFonts w:ascii="Calibri" w:hAnsi="Calibri"/>
                <w:sz w:val="22"/>
              </w:rPr>
              <w:t>$7.45–$7.75 (unchanged)</w:t>
            </w:r>
          </w:p>
        </w:tc>
        <w:tc>
          <w:tcPr>
            <w:tcW w:type="dxa" w:w="1080"/>
          </w:tcPr>
          <w:p>
            <w:r>
              <w:rPr>
                <w:rFonts w:ascii="Calibri" w:hAnsi="Calibri"/>
                <w:sz w:val="22"/>
              </w:rPr>
              <w:t>0%</w:t>
            </w:r>
          </w:p>
        </w:tc>
        <w:tc>
          <w:tcPr>
            <w:tcW w:type="dxa" w:w="1080"/>
          </w:tcPr>
          <w:p>
            <w:r>
              <w:rPr>
                <w:rFonts w:ascii="Calibri" w:hAnsi="Calibri"/>
                <w:sz w:val="22"/>
              </w:rPr>
              <w:t>+0.9% above midpoint ($7.60)</w:t>
            </w:r>
          </w:p>
        </w:tc>
      </w:tr>
      <w:tr>
        <w:tc>
          <w:tcPr>
            <w:tcW w:type="dxa" w:w="1080"/>
          </w:tcPr>
          <w:p>
            <w:r>
              <w:rPr>
                <w:rFonts w:ascii="Calibri" w:hAnsi="Calibri"/>
                <w:sz w:val="22"/>
              </w:rPr>
              <w:t>Adj. EBITDA — Q2 2026</w:t>
            </w:r>
          </w:p>
        </w:tc>
        <w:tc>
          <w:tcPr>
            <w:tcW w:type="dxa" w:w="1080"/>
          </w:tcPr>
          <w:p>
            <w:r>
              <w:rPr>
                <w:rFonts w:ascii="Calibri" w:hAnsi="Calibri"/>
                <w:sz w:val="22"/>
              </w:rPr>
              <w:t>$454.3M</w:t>
            </w:r>
          </w:p>
        </w:tc>
        <w:tc>
          <w:tcPr>
            <w:tcW w:type="dxa" w:w="1080"/>
          </w:tcPr>
          <w:p>
            <w:r>
              <w:rPr>
                <w:rFonts w:ascii="Calibri" w:hAnsi="Calibri"/>
                <w:sz w:val="22"/>
              </w:rPr>
              <w:t>$456.9M</w:t>
            </w:r>
          </w:p>
        </w:tc>
        <w:tc>
          <w:tcPr>
            <w:tcW w:type="dxa" w:w="1080"/>
          </w:tcPr>
          <w:p>
            <w:r>
              <w:rPr>
                <w:rFonts w:ascii="Calibri" w:hAnsi="Calibri"/>
                <w:sz w:val="22"/>
              </w:rPr>
              <w:t>+0.6%</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$1,810.3M</w:t>
            </w:r>
          </w:p>
        </w:tc>
        <w:tc>
          <w:tcPr>
            <w:tcW w:type="dxa" w:w="1080"/>
          </w:tcPr>
          <w:p>
            <w:r>
              <w:rPr>
                <w:rFonts w:ascii="Calibri" w:hAnsi="Calibri"/>
                <w:sz w:val="22"/>
              </w:rPr>
              <w:t>$1,818.0M</w:t>
            </w:r>
          </w:p>
        </w:tc>
        <w:tc>
          <w:tcPr>
            <w:tcW w:type="dxa" w:w="1080"/>
          </w:tcPr>
          <w:p>
            <w:r>
              <w:rPr>
                <w:rFonts w:ascii="Calibri" w:hAnsi="Calibri"/>
                <w:sz w:val="22"/>
              </w:rPr>
              <w:t>+0.4%</w:t>
            </w:r>
          </w:p>
        </w:tc>
        <w:tc>
          <w:tcPr>
            <w:tcW w:type="dxa" w:w="1080"/>
          </w:tcPr>
          <w:p>
            <w:r>
              <w:rPr>
                <w:rFonts w:ascii="Calibri" w:hAnsi="Calibri"/>
                <w:sz w:val="22"/>
              </w:rPr>
              <w:t>$1,790–$1,830M</w:t>
            </w:r>
          </w:p>
        </w:tc>
        <w:tc>
          <w:tcPr>
            <w:tcW w:type="dxa" w:w="1080"/>
          </w:tcPr>
          <w:p>
            <w:r>
              <w:rPr>
                <w:rFonts w:ascii="Calibri" w:hAnsi="Calibri"/>
                <w:sz w:val="22"/>
              </w:rPr>
              <w:t>$1,790–$1,830M (unchanged)</w:t>
            </w:r>
          </w:p>
        </w:tc>
        <w:tc>
          <w:tcPr>
            <w:tcW w:type="dxa" w:w="1080"/>
          </w:tcPr>
          <w:p>
            <w:r>
              <w:rPr>
                <w:rFonts w:ascii="Calibri" w:hAnsi="Calibri"/>
                <w:sz w:val="22"/>
              </w:rPr>
              <w:t>0%</w:t>
            </w:r>
          </w:p>
        </w:tc>
        <w:tc>
          <w:tcPr>
            <w:tcW w:type="dxa" w:w="1080"/>
          </w:tcPr>
          <w:p>
            <w:r>
              <w:rPr>
                <w:rFonts w:ascii="Calibri" w:hAnsi="Calibri"/>
                <w:sz w:val="22"/>
              </w:rPr>
              <w:t>+0.4% above midpoint ($1,810M)</w:t>
            </w:r>
          </w:p>
        </w:tc>
      </w:tr>
      <w:tr>
        <w:tc>
          <w:tcPr>
            <w:tcW w:type="dxa" w:w="1080"/>
          </w:tcPr>
          <w:p>
            <w:r>
              <w:rPr>
                <w:rFonts w:ascii="Calibri" w:hAnsi="Calibri"/>
                <w:sz w:val="22"/>
              </w:rPr>
              <w:t>OCC Growth — Q2 2026</w:t>
            </w:r>
          </w:p>
        </w:tc>
        <w:tc>
          <w:tcPr>
            <w:tcW w:type="dxa" w:w="1080"/>
          </w:tcPr>
          <w:p>
            <w:r>
              <w:rPr>
                <w:rFonts w:ascii="Calibri" w:hAnsi="Calibri"/>
                <w:sz w:val="22"/>
              </w:rPr>
              <w:t>~5.3%</w:t>
            </w:r>
          </w:p>
        </w:tc>
        <w:tc>
          <w:tcPr>
            <w:tcW w:type="dxa" w:w="1080"/>
          </w:tcPr>
          <w:p>
            <w:r>
              <w:rPr>
                <w:rFonts w:ascii="Calibri" w:hAnsi="Calibri"/>
                <w:sz w:val="22"/>
              </w:rPr>
              <w:t>~5.3%</w:t>
            </w:r>
          </w:p>
        </w:tc>
        <w:tc>
          <w:tcPr>
            <w:tcW w:type="dxa" w:w="1080"/>
          </w:tcPr>
          <w:p>
            <w:r>
              <w:rPr>
                <w:rFonts w:ascii="Calibri" w:hAnsi="Calibri"/>
                <w:sz w:val="22"/>
              </w:rPr>
              <w:t>Flat</w:t>
            </w:r>
          </w:p>
        </w:tc>
        <w:tc>
          <w:tcPr>
            <w:tcW w:type="dxa" w:w="1080"/>
          </w:tcPr>
          <w:p>
            <w:r>
              <w:rPr>
                <w:rFonts w:ascii="Calibri" w:hAnsi="Calibri"/>
                <w:sz w:val="22"/>
              </w:rPr>
              <w:t>May fall below 6–8% LT range</w:t>
            </w:r>
          </w:p>
        </w:tc>
        <w:tc>
          <w:tcPr>
            <w:tcW w:type="dxa" w:w="1080"/>
          </w:tcPr>
          <w:p>
            <w:r>
              <w:rPr>
                <w:rFonts w:ascii="Calibri" w:hAnsi="Calibri"/>
                <w:sz w:val="22"/>
              </w:rPr>
              <w:t>Unchanged (qualitative)</w:t>
            </w:r>
          </w:p>
        </w:tc>
        <w:tc>
          <w:tcPr>
            <w:tcW w:type="dxa" w:w="1080"/>
          </w:tcPr>
          <w:p>
            <w:r>
              <w:rPr>
                <w:rFonts w:ascii="Calibri" w:hAnsi="Calibri"/>
                <w:sz w:val="22"/>
              </w:rPr>
              <w:t>N/A</w:t>
            </w:r>
          </w:p>
        </w:tc>
        <w:tc>
          <w:tcPr>
            <w:tcW w:type="dxa" w:w="1080"/>
          </w:tcPr>
          <w:p>
            <w:r>
              <w:rPr>
                <w:rFonts w:ascii="Calibri" w:hAnsi="Calibri"/>
                <w:sz w:val="22"/>
              </w:rPr>
              <w:t>Below LT range; consistent with guidance</w:t>
            </w:r>
          </w:p>
        </w:tc>
      </w:tr>
    </w:tbl>
    <w:p>
      <w:r>
        <w:rPr>
          <w:rFonts w:ascii="Calibri" w:hAnsi="Calibri"/>
          <w:color w:val="525866"/>
          <w:sz w:val="22"/>
        </w:rPr>
        <w:t>Estimates have been essentially flat since the Q1 print, with Q2 revenue up just +0.3% and FY EPS up +0.3% from the post-earnings baseline. This stability reflects the street's acceptance of management's trough narrative and the absence of any negative pre-announcement. Consensus sits modestly above FY guidance midpoints across all metrics, implying the street expects a slight H2 acceleration — consistent with management's messaging.</w:t>
      </w:r>
    </w:p>
    <w:p>
      <w:r>
        <w:rPr>
          <w:rFonts w:ascii="Calibri" w:hAnsi="Calibri"/>
          <w:i/>
          <w:color w:val="525866"/>
          <w:sz w:val="22"/>
        </w:rPr>
        <w:t>Source: Visible Alpha Consensus and Actuals Data (as-of dates: May 6, 2026 and July 28, 2026); Q1 2026 Earnings Call Transcript.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VRSK has rallied ~12.8% since the Q1 2026 earnings date (April 29), underperforming the KIE insurance ETF (+16.1%) but significantly outperforming the S&amp;P 500 (+4.1%). </w:t>
      </w:r>
      <w:r>
        <w:rPr>
          <w:rFonts w:ascii="Calibri" w:hAnsi="Calibri"/>
          <w:b/>
          <w:color w:val="525866"/>
          <w:sz w:val="22"/>
        </w:rPr>
        <w:t>The move has been almost entirely multiple-driven</w:t>
      </w:r>
      <w:r>
        <w:rPr>
          <w:rFonts w:ascii="Calibri" w:hAnsi="Calibri"/>
          <w:color w:val="525866"/>
          <w:sz w:val="22"/>
        </w:rPr>
        <w:t xml:space="preserve"> — NTM EV/EBITDA expanded from ~13.96x (3 months ago) to ~16.36x today, while estimate revisions have been flat — suggesting the stock has re-rated on improved sentiment and the trough narrative rather than fundamental upgrades.</w:t>
      </w:r>
    </w:p>
    <w:p>
      <w:r>
        <w:rPr>
          <w:rFonts w:ascii="Calibri" w:hAnsi="Calibri"/>
          <w:b/>
          <w:color w:val="525866"/>
          <w:sz w:val="22"/>
        </w:rPr>
        <w:t>Indexed Performance Since April 29, 2026 (Base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VRSK (Indexed)</w:t>
            </w:r>
          </w:p>
        </w:tc>
        <w:tc>
          <w:tcPr>
            <w:tcW w:type="dxa" w:w="2160"/>
            <w:shd w:val="clear" w:color="auto" w:fill="3B4259"/>
          </w:tcPr>
          <w:p>
            <w:r>
              <w:rPr>
                <w:rFonts w:ascii="Calibri" w:hAnsi="Calibri"/>
                <w:b/>
                <w:color w:val="FFFFFF"/>
                <w:sz w:val="22"/>
              </w:rPr>
              <w:t>KIE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14, 2026 (Trough)</w:t>
            </w:r>
          </w:p>
        </w:tc>
        <w:tc>
          <w:tcPr>
            <w:tcW w:type="dxa" w:w="2160"/>
          </w:tcPr>
          <w:p>
            <w:r>
              <w:rPr>
                <w:rFonts w:ascii="Calibri" w:hAnsi="Calibri"/>
                <w:sz w:val="22"/>
              </w:rPr>
              <w:t>83.3</w:t>
            </w:r>
          </w:p>
        </w:tc>
        <w:tc>
          <w:tcPr>
            <w:tcW w:type="dxa" w:w="2160"/>
          </w:tcPr>
          <w:p>
            <w:r>
              <w:rPr>
                <w:rFonts w:ascii="Calibri" w:hAnsi="Calibri"/>
                <w:sz w:val="22"/>
              </w:rPr>
              <w:t>98.3</w:t>
            </w:r>
          </w:p>
        </w:tc>
        <w:tc>
          <w:tcPr>
            <w:tcW w:type="dxa" w:w="2160"/>
          </w:tcPr>
          <w:p>
            <w:r>
              <w:rPr>
                <w:rFonts w:ascii="Calibri" w:hAnsi="Calibri"/>
                <w:sz w:val="22"/>
              </w:rPr>
              <w:t>105.1</w:t>
            </w:r>
          </w:p>
        </w:tc>
      </w:tr>
      <w:tr>
        <w:tc>
          <w:tcPr>
            <w:tcW w:type="dxa" w:w="2160"/>
          </w:tcPr>
          <w:p>
            <w:r>
              <w:rPr>
                <w:rFonts w:ascii="Calibri" w:hAnsi="Calibri"/>
                <w:sz w:val="22"/>
              </w:rPr>
              <w:t>May 28, 2026 (Bernstein Conf.)</w:t>
            </w:r>
          </w:p>
        </w:tc>
        <w:tc>
          <w:tcPr>
            <w:tcW w:type="dxa" w:w="2160"/>
          </w:tcPr>
          <w:p>
            <w:r>
              <w:rPr>
                <w:rFonts w:ascii="Calibri" w:hAnsi="Calibri"/>
                <w:sz w:val="22"/>
              </w:rPr>
              <w:t>91.8</w:t>
            </w:r>
          </w:p>
        </w:tc>
        <w:tc>
          <w:tcPr>
            <w:tcW w:type="dxa" w:w="2160"/>
          </w:tcPr>
          <w:p>
            <w:r>
              <w:rPr>
                <w:rFonts w:ascii="Calibri" w:hAnsi="Calibri"/>
                <w:sz w:val="22"/>
              </w:rPr>
              <w:t>97.3</w:t>
            </w:r>
          </w:p>
        </w:tc>
        <w:tc>
          <w:tcPr>
            <w:tcW w:type="dxa" w:w="2160"/>
          </w:tcPr>
          <w:p>
            <w:r>
              <w:rPr>
                <w:rFonts w:ascii="Calibri" w:hAnsi="Calibri"/>
                <w:sz w:val="22"/>
              </w:rPr>
              <w:t>106.0</w:t>
            </w:r>
          </w:p>
        </w:tc>
      </w:tr>
      <w:tr>
        <w:tc>
          <w:tcPr>
            <w:tcW w:type="dxa" w:w="2160"/>
          </w:tcPr>
          <w:p>
            <w:r>
              <w:rPr>
                <w:rFonts w:ascii="Calibri" w:hAnsi="Calibri"/>
                <w:sz w:val="22"/>
              </w:rPr>
              <w:t>Jun 2, 2026 (William Blair Conf.)</w:t>
            </w:r>
          </w:p>
        </w:tc>
        <w:tc>
          <w:tcPr>
            <w:tcW w:type="dxa" w:w="2160"/>
          </w:tcPr>
          <w:p>
            <w:r>
              <w:rPr>
                <w:rFonts w:ascii="Calibri" w:hAnsi="Calibri"/>
                <w:sz w:val="22"/>
              </w:rPr>
              <w:t>95.2</w:t>
            </w:r>
          </w:p>
        </w:tc>
        <w:tc>
          <w:tcPr>
            <w:tcW w:type="dxa" w:w="2160"/>
          </w:tcPr>
          <w:p>
            <w:r>
              <w:rPr>
                <w:rFonts w:ascii="Calibri" w:hAnsi="Calibri"/>
                <w:sz w:val="22"/>
              </w:rPr>
              <w:t>96.4</w:t>
            </w:r>
          </w:p>
        </w:tc>
        <w:tc>
          <w:tcPr>
            <w:tcW w:type="dxa" w:w="2160"/>
          </w:tcPr>
          <w:p>
            <w:r>
              <w:rPr>
                <w:rFonts w:ascii="Calibri" w:hAnsi="Calibri"/>
                <w:sz w:val="22"/>
              </w:rPr>
              <w:t>106.7</w:t>
            </w:r>
          </w:p>
        </w:tc>
      </w:tr>
      <w:tr>
        <w:tc>
          <w:tcPr>
            <w:tcW w:type="dxa" w:w="2160"/>
          </w:tcPr>
          <w:p>
            <w:r>
              <w:rPr>
                <w:rFonts w:ascii="Calibri" w:hAnsi="Calibri"/>
                <w:sz w:val="22"/>
              </w:rPr>
              <w:t>Jun 30, 2026 (Quarter End)</w:t>
            </w:r>
          </w:p>
        </w:tc>
        <w:tc>
          <w:tcPr>
            <w:tcW w:type="dxa" w:w="2160"/>
          </w:tcPr>
          <w:p>
            <w:r>
              <w:rPr>
                <w:rFonts w:ascii="Calibri" w:hAnsi="Calibri"/>
                <w:sz w:val="22"/>
              </w:rPr>
              <w:t>95.4</w:t>
            </w:r>
          </w:p>
        </w:tc>
        <w:tc>
          <w:tcPr>
            <w:tcW w:type="dxa" w:w="2160"/>
          </w:tcPr>
          <w:p>
            <w:r>
              <w:rPr>
                <w:rFonts w:ascii="Calibri" w:hAnsi="Calibri"/>
                <w:sz w:val="22"/>
              </w:rPr>
              <w:t>106.6</w:t>
            </w:r>
          </w:p>
        </w:tc>
        <w:tc>
          <w:tcPr>
            <w:tcW w:type="dxa" w:w="2160"/>
          </w:tcPr>
          <w:p>
            <w:r>
              <w:rPr>
                <w:rFonts w:ascii="Calibri" w:hAnsi="Calibri"/>
                <w:sz w:val="22"/>
              </w:rPr>
              <w:t>104.9</w:t>
            </w:r>
          </w:p>
        </w:tc>
      </w:tr>
      <w:tr>
        <w:tc>
          <w:tcPr>
            <w:tcW w:type="dxa" w:w="2160"/>
          </w:tcPr>
          <w:p>
            <w:r>
              <w:rPr>
                <w:rFonts w:ascii="Calibri" w:hAnsi="Calibri"/>
                <w:sz w:val="22"/>
              </w:rPr>
              <w:t>Jul 16, 2026 (TRV Earnings)</w:t>
            </w:r>
          </w:p>
        </w:tc>
        <w:tc>
          <w:tcPr>
            <w:tcW w:type="dxa" w:w="2160"/>
          </w:tcPr>
          <w:p>
            <w:r>
              <w:rPr>
                <w:rFonts w:ascii="Calibri" w:hAnsi="Calibri"/>
                <w:sz w:val="22"/>
              </w:rPr>
              <w:t>107.1</w:t>
            </w:r>
          </w:p>
        </w:tc>
        <w:tc>
          <w:tcPr>
            <w:tcW w:type="dxa" w:w="2160"/>
          </w:tcPr>
          <w:p>
            <w:r>
              <w:rPr>
                <w:rFonts w:ascii="Calibri" w:hAnsi="Calibri"/>
                <w:sz w:val="22"/>
              </w:rPr>
              <w:t>110.9</w:t>
            </w:r>
          </w:p>
        </w:tc>
        <w:tc>
          <w:tcPr>
            <w:tcW w:type="dxa" w:w="2160"/>
          </w:tcPr>
          <w:p>
            <w:r>
              <w:rPr>
                <w:rFonts w:ascii="Calibri" w:hAnsi="Calibri"/>
                <w:sz w:val="22"/>
              </w:rPr>
              <w:t>105.5</w:t>
            </w:r>
          </w:p>
        </w:tc>
      </w:tr>
      <w:tr>
        <w:tc>
          <w:tcPr>
            <w:tcW w:type="dxa" w:w="2160"/>
          </w:tcPr>
          <w:p>
            <w:r>
              <w:rPr>
                <w:rFonts w:ascii="Calibri" w:hAnsi="Calibri"/>
                <w:sz w:val="22"/>
              </w:rPr>
              <w:t>Jul 28, 2026 (Current)</w:t>
            </w:r>
          </w:p>
        </w:tc>
        <w:tc>
          <w:tcPr>
            <w:tcW w:type="dxa" w:w="2160"/>
          </w:tcPr>
          <w:p>
            <w:r>
              <w:rPr>
                <w:rFonts w:ascii="Calibri" w:hAnsi="Calibri"/>
                <w:sz w:val="22"/>
              </w:rPr>
              <w:t>112.8</w:t>
            </w:r>
          </w:p>
        </w:tc>
        <w:tc>
          <w:tcPr>
            <w:tcW w:type="dxa" w:w="2160"/>
          </w:tcPr>
          <w:p>
            <w:r>
              <w:rPr>
                <w:rFonts w:ascii="Calibri" w:hAnsi="Calibri"/>
                <w:sz w:val="22"/>
              </w:rPr>
              <w:t>116.1</w:t>
            </w:r>
          </w:p>
        </w:tc>
        <w:tc>
          <w:tcPr>
            <w:tcW w:type="dxa" w:w="2160"/>
          </w:tcPr>
          <w:p>
            <w:r>
              <w:rPr>
                <w:rFonts w:ascii="Calibri" w:hAnsi="Calibri"/>
                <w:sz w:val="22"/>
              </w:rPr>
              <w:t>104.1</w:t>
            </w:r>
          </w:p>
        </w:tc>
      </w:tr>
    </w:tbl>
    <w:p>
      <w:r>
        <w:rPr>
          <w:rFonts w:ascii="Calibri" w:hAnsi="Calibri"/>
          <w:b/>
          <w:color w:val="525866"/>
          <w:sz w:val="22"/>
        </w:rPr>
        <w:t xml:space="preserve">Note: </w:t>
      </w:r>
      <w:r>
        <w:rPr>
          <w:rFonts w:ascii="Calibri" w:hAnsi="Calibri"/>
          <w:color w:val="525866"/>
          <w:sz w:val="22"/>
        </w:rPr>
        <w:t>KIE = SPDR S&amp;P Insurance ETF (sub-sector benchmark for VRSK's primary end market). VRSK hit a post-earnings trough of ~$156.84 on May 14 (down ~16.7% from the April 29 close) before recovering sharply. The recovery coincided with the Bernstein conference (May 28) where management confirmed Q1 as the trough, and accelerated in July as insurance peers (TRV, CB, HIG) reported strong Q2 results, lifting the KIE and dragging VRSK higher. The 12-month NTM EV/EBITDA multiple has compressed from ~24.7x to ~16.4x, but the 1-month and 3-month re-expansion (+13.5% and +17.2% respectively) reflects improving sentiment.</w:t>
      </w:r>
    </w:p>
    <w:p>
      <w:r>
        <w:rPr>
          <w:rFonts w:ascii="Calibri" w:hAnsi="Calibri"/>
          <w:i/>
          <w:color w:val="525866"/>
          <w:sz w:val="22"/>
        </w:rPr>
        <w:t>Source: Stock Price Data (Yahoo Finance); Stock Performance Decomposition Data.</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material development since Q1 earnings is the July 27 CIO departure (effective August 3), which adds a leadership uncertainty overhang at a critical AI execution juncture; however, the interim CTO-to-CIO transition and the strategic advisor role suggest a managed handoff. The Synergy Studio launch (June 2026) and MCP connector deployments are positive product catalysts heading into the print.</w:t>
      </w:r>
    </w:p>
    <w:p>
      <w:pPr>
        <w:pStyle w:val="ListBullet"/>
        <w:ind w:left="360" w:hanging="360"/>
      </w:pPr>
      <w:r>
        <w:rPr>
          <w:rFonts w:ascii="Calibri" w:hAnsi="Calibri"/>
          <w:b/>
          <w:color w:val="525866"/>
          <w:sz w:val="22"/>
        </w:rPr>
        <w:t>July 27, 2026 — CIO Nick Daffan to Depart (Effective August 3, 2026):</w:t>
      </w:r>
      <w:r>
        <w:rPr>
          <w:rFonts w:ascii="Calibri" w:hAnsi="Calibri"/>
          <w:color w:val="525866"/>
          <w:sz w:val="22"/>
        </w:rPr>
        <w:t xml:space="preserve"> Verisk filed an 8-K on July 28 disclosing that EVP &amp; CIO Nick Daffan will no longer serve in his role effective August 3, 2026. Daffan, a 20+ year veteran who led the mainframe-to-cloud migration, will transition to a Strategic Advisor role through year-end. CTO Jeff Negrete will serve as interim CIO. </w:t>
      </w:r>
      <w:r>
        <w:rPr>
          <w:rFonts w:ascii="Calibri" w:hAnsi="Calibri"/>
          <w:b/>
          <w:color w:val="525866"/>
          <w:sz w:val="22"/>
        </w:rPr>
        <w:t>Implication:</w:t>
      </w:r>
      <w:r>
        <w:rPr>
          <w:rFonts w:ascii="Calibri" w:hAnsi="Calibri"/>
          <w:color w:val="525866"/>
          <w:sz w:val="22"/>
        </w:rPr>
        <w:t xml:space="preserve"> Leadership change at the CIO level just as Verisk is executing its AI strategy (MCP connectors, Synergy Studio, agentic AI) is a modest negative overhang. The managed transition and Negrete's existing CTO role mitigate the risk, but investors will likely probe succession plans on the call. Separation terms follow the Senior Executive Severance Benefits Plan (disclosed April 5, 2022 8-K).</w:t>
      </w:r>
    </w:p>
    <w:p>
      <w:pPr>
        <w:pStyle w:val="ListBullet"/>
        <w:ind w:left="360" w:hanging="360"/>
      </w:pPr>
      <w:r>
        <w:rPr>
          <w:rFonts w:ascii="Calibri" w:hAnsi="Calibri"/>
          <w:b/>
          <w:color w:val="525866"/>
          <w:sz w:val="22"/>
        </w:rPr>
        <w:t>May 28, 2026 — MCP Connector Launch with Anthropic (Bernstein Conference):</w:t>
      </w:r>
      <w:r>
        <w:rPr>
          <w:rFonts w:ascii="Calibri" w:hAnsi="Calibri"/>
          <w:color w:val="525866"/>
          <w:sz w:val="22"/>
        </w:rPr>
        <w:t xml:space="preserve"> CEO Shavel confirmed the launch of two MCP connectors inside Anthropic's Claude: (1) Verisk Underwriting Intelligence (ISO forms, rules, loss costs) and (2) Verisk XactRestore (restoration cost analytics). Both offered on a free trial basis initially, with plans to monetize over time. Developed in ~4 weeks. </w:t>
      </w:r>
      <w:r>
        <w:rPr>
          <w:rFonts w:ascii="Calibri" w:hAnsi="Calibri"/>
          <w:b/>
          <w:color w:val="525866"/>
          <w:sz w:val="22"/>
        </w:rPr>
        <w:t>Implication:</w:t>
      </w:r>
      <w:r>
        <w:rPr>
          <w:rFonts w:ascii="Calibri" w:hAnsi="Calibri"/>
          <w:color w:val="525866"/>
          <w:sz w:val="22"/>
        </w:rPr>
        <w:t xml:space="preserve"> First concrete AI monetization proof-of-concept; management framed frontier AI model companies as a distribution channel. Investors will want an update on trial uptake and pricing timeline.</w:t>
      </w:r>
    </w:p>
    <w:p>
      <w:pPr>
        <w:pStyle w:val="ListBullet"/>
        <w:ind w:left="360" w:hanging="360"/>
      </w:pPr>
      <w:r>
        <w:rPr>
          <w:rFonts w:ascii="Calibri" w:hAnsi="Calibri"/>
          <w:b/>
          <w:color w:val="525866"/>
          <w:sz w:val="22"/>
        </w:rPr>
        <w:t>June 2026 — Synergy Studio Production Launch:</w:t>
      </w:r>
      <w:r>
        <w:rPr>
          <w:rFonts w:ascii="Calibri" w:hAnsi="Calibri"/>
          <w:color w:val="525866"/>
          <w:sz w:val="22"/>
        </w:rPr>
        <w:t xml:space="preserve"> Verisk's next-generation cloud-native SaaS catastrophe modeling platform was on track for production release in June 2026 (confirmed at Bernstein May 28 and William Blair June 2). The platform opens the ecosystem to third-party models and integrates exposure accumulation with natural catastrophe risks. </w:t>
      </w:r>
      <w:r>
        <w:rPr>
          <w:rFonts w:ascii="Calibri" w:hAnsi="Calibri"/>
          <w:b/>
          <w:color w:val="525866"/>
          <w:sz w:val="22"/>
        </w:rPr>
        <w:t>Implication:</w:t>
      </w:r>
      <w:r>
        <w:rPr>
          <w:rFonts w:ascii="Calibri" w:hAnsi="Calibri"/>
          <w:color w:val="525866"/>
          <w:sz w:val="22"/>
        </w:rPr>
        <w:t xml:space="preserve"> A successful launch would validate the catastrophe modeling growth story and support double-digit Cat &amp; Risk Solutions growth continuation.</w:t>
      </w:r>
    </w:p>
    <w:p>
      <w:pPr>
        <w:pStyle w:val="ListBullet"/>
        <w:ind w:left="360" w:hanging="360"/>
      </w:pPr>
      <w:r>
        <w:rPr>
          <w:rFonts w:ascii="Calibri" w:hAnsi="Calibri"/>
          <w:b/>
          <w:color w:val="525866"/>
          <w:sz w:val="22"/>
        </w:rPr>
        <w:t>April 29, 2026 — $1.5B Accelerated Share Repurchase Program:</w:t>
      </w:r>
      <w:r>
        <w:rPr>
          <w:rFonts w:ascii="Calibri" w:hAnsi="Calibri"/>
          <w:color w:val="525866"/>
          <w:sz w:val="22"/>
        </w:rPr>
        <w:t xml:space="preserve"> Verisk initiated a $1.5B ASR in Q1 2026, receiving an initial delivery of 6,986,302 shares at $182.50. The program was expected to run at least through Q2 2026. Additionally, $126.1M was repurchased via open market transactions in Q1. ~$1.0B remained under the repurchase authorization as of March 31. </w:t>
      </w:r>
      <w:r>
        <w:rPr>
          <w:rFonts w:ascii="Calibri" w:hAnsi="Calibri"/>
          <w:b/>
          <w:color w:val="525866"/>
          <w:sz w:val="22"/>
        </w:rPr>
        <w:t>Implication:</w:t>
      </w:r>
      <w:r>
        <w:rPr>
          <w:rFonts w:ascii="Calibri" w:hAnsi="Calibri"/>
          <w:color w:val="525866"/>
          <w:sz w:val="22"/>
        </w:rPr>
        <w:t xml:space="preserve"> The ASR settlement in Q2 will reduce the share count, providing a meaningful EPS tailwind. Investors will want the final settlement price and remaining authorization update.</w:t>
      </w:r>
    </w:p>
    <w:p>
      <w:pPr>
        <w:pStyle w:val="ListBullet"/>
        <w:ind w:left="360" w:hanging="360"/>
      </w:pPr>
      <w:r>
        <w:rPr>
          <w:rFonts w:ascii="Calibri" w:hAnsi="Calibri"/>
          <w:b/>
          <w:color w:val="525866"/>
          <w:sz w:val="22"/>
        </w:rPr>
        <w:t>April 27, 2026 — Q2 Dividend Declared:</w:t>
      </w:r>
      <w:r>
        <w:rPr>
          <w:rFonts w:ascii="Calibri" w:hAnsi="Calibri"/>
          <w:color w:val="525866"/>
          <w:sz w:val="22"/>
        </w:rPr>
        <w:t xml:space="preserve"> Board approved a $0.50/share cash dividend payable June 30, 2026 to holders of record June 15, 2026 (11% increase YoY). </w:t>
      </w:r>
      <w:r>
        <w:rPr>
          <w:rFonts w:ascii="Calibri" w:hAnsi="Calibri"/>
          <w:b/>
          <w:color w:val="525866"/>
          <w:sz w:val="22"/>
        </w:rPr>
        <w:t>Implication:</w:t>
      </w:r>
      <w:r>
        <w:rPr>
          <w:rFonts w:ascii="Calibri" w:hAnsi="Calibri"/>
          <w:color w:val="525866"/>
          <w:sz w:val="22"/>
        </w:rPr>
        <w:t xml:space="preserve"> Consistent with the Investor Day commitment to return &gt;75% of FCF to shareholders annually.</w:t>
      </w:r>
    </w:p>
    <w:p>
      <w:pPr>
        <w:pStyle w:val="ListBullet"/>
        <w:ind w:left="360" w:hanging="360"/>
      </w:pPr>
      <w:r>
        <w:rPr>
          <w:rFonts w:ascii="Calibri" w:hAnsi="Calibri"/>
          <w:b/>
          <w:color w:val="525866"/>
          <w:sz w:val="22"/>
        </w:rPr>
        <w:t>March 5, 2026 — Investor Day:</w:t>
      </w:r>
      <w:r>
        <w:rPr>
          <w:rFonts w:ascii="Calibri" w:hAnsi="Calibri"/>
          <w:color w:val="525866"/>
          <w:sz w:val="22"/>
        </w:rPr>
        <w:t xml:space="preserve"> Management reiterated 3-year targets of 6–8% OCC revenue growth, 25–75 bps annual margin expansion, and double-digit adj. EPS growth; introduced commitment to return &gt;75% of FCF annually. </w:t>
      </w:r>
      <w:r>
        <w:rPr>
          <w:rFonts w:ascii="Calibri" w:hAnsi="Calibri"/>
          <w:b/>
          <w:color w:val="525866"/>
          <w:sz w:val="22"/>
        </w:rPr>
        <w:t>Implication:</w:t>
      </w:r>
      <w:r>
        <w:rPr>
          <w:rFonts w:ascii="Calibri" w:hAnsi="Calibri"/>
          <w:color w:val="525866"/>
          <w:sz w:val="22"/>
        </w:rPr>
        <w:t xml:space="preserve"> Provides the medium-term framework against which Q2 results will be measured.</w:t>
      </w:r>
    </w:p>
    <w:p>
      <w:r>
        <w:br w:type="page"/>
      </w:r>
    </w:p>
    <w:p>
      <w:pPr>
        <w:pStyle w:val="Heading2"/>
      </w:pPr>
      <w:r>
        <w:rPr>
          <w:rFonts w:ascii="Calibri" w:hAnsi="Calibri"/>
          <w:b/>
          <w:color w:val="3B4259"/>
          <w:sz w:val="28"/>
        </w:rPr>
        <w:t>7. Peer Commentaries — Q2 2026 Current-Quarter Read-Through</w:t>
      </w:r>
    </w:p>
    <w:p>
      <w:r>
        <w:rPr>
          <w:rFonts w:ascii="Calibri" w:hAnsi="Calibri"/>
          <w:b/>
          <w:color w:val="525866"/>
          <w:sz w:val="22"/>
        </w:rPr>
        <w:t xml:space="preserve">Scope Note: </w:t>
      </w:r>
      <w:r>
        <w:rPr>
          <w:rFonts w:ascii="Calibri" w:hAnsi="Calibri"/>
          <w:i/>
          <w:color w:val="525866"/>
          <w:sz w:val="22"/>
        </w:rPr>
        <w:t>This section includes only commentary and conditions from peers' own Q2 2026 reporting quarter (calendar quarter ended June 30, 2026), reported or discussed in the last 60 days through July 28, 2026. Prior-quarter results and forward-looking commentary about future quarters are excluded.</w:t>
      </w:r>
    </w:p>
    <w:p>
      <w:r>
        <w:rPr>
          <w:rFonts w:ascii="Calibri" w:hAnsi="Calibri"/>
          <w:b/>
          <w:color w:val="525866"/>
          <w:sz w:val="22"/>
        </w:rPr>
        <w:t xml:space="preserve">Key Takeaway: </w:t>
      </w:r>
      <w:r>
        <w:rPr>
          <w:rFonts w:ascii="Calibri" w:hAnsi="Calibri"/>
          <w:color w:val="525866"/>
          <w:sz w:val="22"/>
        </w:rPr>
        <w:t>Peer Q2 2026 results paint a constructive backdrop for VRSK: insurance carriers reported strong profitability and robust technology/AI investment, catastrophe losses were elevated but manageable (positive for transactional revenue), and data/analytics peers (MCO, SPGI) reported accelerating demand for AI-integrated data solutions with MCP adoption gaining traction. The primary caution is that carriers are more rigorously scrutinizing AI ROI and that sales cycles for complex AI contracts are elongating — consistent with VRSK's own Q1 commentary.</w:t>
      </w:r>
    </w:p>
    <w:p>
      <w:pPr>
        <w:pStyle w:val="Heading3"/>
      </w:pPr>
      <w:r>
        <w:rPr>
          <w:rFonts w:ascii="Calibri" w:hAnsi="Calibri"/>
          <w:b/>
          <w:color w:val="3B4259"/>
          <w:sz w:val="24"/>
        </w:rPr>
        <w:t>7a. Progressive (PGR) — Q2 2026 Results (Reported July 15, 2026)</w:t>
      </w:r>
    </w:p>
    <w:p>
      <w:r>
        <w:rPr>
          <w:rFonts w:ascii="Calibri" w:hAnsi="Calibri"/>
          <w:color w:val="525866"/>
          <w:sz w:val="22"/>
        </w:rPr>
        <w:t>Q2 2026 Conditions Relevant to VRSK:</w:t>
      </w:r>
    </w:p>
    <w:p>
      <w:pPr>
        <w:pStyle w:val="ListBullet"/>
        <w:ind w:left="360" w:hanging="360"/>
      </w:pPr>
      <w:r>
        <w:rPr>
          <w:rFonts w:ascii="Calibri" w:hAnsi="Calibri"/>
          <w:b/>
          <w:color w:val="525866"/>
          <w:sz w:val="22"/>
        </w:rPr>
        <w:t>Premium Growth (Positive Read-Through):</w:t>
      </w:r>
      <w:r>
        <w:rPr>
          <w:rFonts w:ascii="Calibri" w:hAnsi="Calibri"/>
          <w:color w:val="525866"/>
          <w:sz w:val="22"/>
        </w:rPr>
        <w:t xml:space="preserve"> PGR Q2 2026 net premiums written grew +5% YoY to $21.1B; net premiums earned grew +6% to $21.6B. Policy-in-force growth remains robust. </w:t>
      </w:r>
      <w:r>
        <w:rPr>
          <w:rFonts w:ascii="Calibri" w:hAnsi="Calibri"/>
          <w:b/>
          <w:color w:val="525866"/>
          <w:sz w:val="22"/>
        </w:rPr>
        <w:t>VRSK implication:</w:t>
      </w:r>
      <w:r>
        <w:rPr>
          <w:rFonts w:ascii="Calibri" w:hAnsi="Calibri"/>
          <w:color w:val="525866"/>
          <w:sz w:val="22"/>
        </w:rPr>
        <w:t xml:space="preserve"> Expanding premium volumes drive demand for VRSK's underwriting data, pricing analytics, and policy administration tools. However, June NPW growth decelerated to +3% companywide (Agency auto flat at 0%), suggesting some moderation in the pace of growth.</w:t>
      </w:r>
    </w:p>
    <w:p>
      <w:pPr>
        <w:pStyle w:val="ListBullet"/>
        <w:ind w:left="360" w:hanging="360"/>
      </w:pPr>
      <w:r>
        <w:rPr>
          <w:rFonts w:ascii="Calibri" w:hAnsi="Calibri"/>
          <w:b/>
          <w:color w:val="525866"/>
          <w:sz w:val="22"/>
        </w:rPr>
        <w:t>Underwriting Profitability Pressure (Mixed Read-Through):</w:t>
      </w:r>
      <w:r>
        <w:rPr>
          <w:rFonts w:ascii="Calibri" w:hAnsi="Calibri"/>
          <w:color w:val="525866"/>
          <w:sz w:val="22"/>
        </w:rPr>
        <w:t xml:space="preserve"> Combined ratio deteriorated 3.4 points to 90.0 in Q2 2026 (vs. 86.6 in Q2 2025). Net income fell 31% YoY to $779M. The deterioration was driven by higher loss/LAE ratios. </w:t>
      </w:r>
      <w:r>
        <w:rPr>
          <w:rFonts w:ascii="Calibri" w:hAnsi="Calibri"/>
          <w:b/>
          <w:color w:val="525866"/>
          <w:sz w:val="22"/>
        </w:rPr>
        <w:t>VRSK implication:</w:t>
      </w:r>
      <w:r>
        <w:rPr>
          <w:rFonts w:ascii="Calibri" w:hAnsi="Calibri"/>
          <w:color w:val="525866"/>
          <w:sz w:val="22"/>
        </w:rPr>
        <w:t xml:space="preserve"> Pressure on underwriting profitability typically increases carrier demand for VRSK's risk selection, pricing, and claims analytics tools to restore margins. However, a one-time favorable actuarial methodology change (11.7 point favorable impact on property IBNR) distorts the underlying loss picture.</w:t>
      </w:r>
    </w:p>
    <w:p>
      <w:pPr>
        <w:pStyle w:val="ListBullet"/>
        <w:ind w:left="360" w:hanging="360"/>
      </w:pPr>
      <w:r>
        <w:rPr>
          <w:rFonts w:ascii="Calibri" w:hAnsi="Calibri"/>
          <w:b/>
          <w:color w:val="525866"/>
          <w:sz w:val="22"/>
        </w:rPr>
        <w:t>Catastrophe/Weather Activity (Positive Read-Through for Transactional Revenue):</w:t>
      </w:r>
      <w:r>
        <w:rPr>
          <w:rFonts w:ascii="Calibri" w:hAnsi="Calibri"/>
          <w:color w:val="525866"/>
          <w:sz w:val="22"/>
        </w:rPr>
        <w:t xml:space="preserve"> Net catastrophe loss ratio for June 2026 was 2.4% companywide, with Personal Lines Property at 8.9%. This represents more normalized weather activity vs. the near-zero catastrophe environment of 2025. </w:t>
      </w:r>
      <w:r>
        <w:rPr>
          <w:rFonts w:ascii="Calibri" w:hAnsi="Calibri"/>
          <w:b/>
          <w:color w:val="525866"/>
          <w:sz w:val="22"/>
        </w:rPr>
        <w:t>VRSK implication:</w:t>
      </w:r>
      <w:r>
        <w:rPr>
          <w:rFonts w:ascii="Calibri" w:hAnsi="Calibri"/>
          <w:color w:val="525866"/>
          <w:sz w:val="22"/>
        </w:rPr>
        <w:t xml:space="preserve"> More normalized weather in Q2 2026 vs. the depressed 2025 baseline should provide a modest tailwind to VRSK's transactional revenue (Property &amp; Restoration Solutions), which was the primary drag on Q1 2026 OCC growth (-6.1% transactional).</w:t>
      </w:r>
    </w:p>
    <w:p>
      <w:pPr>
        <w:pStyle w:val="Heading3"/>
      </w:pPr>
      <w:r>
        <w:rPr>
          <w:rFonts w:ascii="Calibri" w:hAnsi="Calibri"/>
          <w:b/>
          <w:color w:val="3B4259"/>
          <w:sz w:val="24"/>
        </w:rPr>
        <w:t>7b. Travelers (TRV) — Q2 2026 Results (Reported July 17, 2026)</w:t>
      </w:r>
    </w:p>
    <w:p>
      <w:pPr>
        <w:pStyle w:val="ListBullet"/>
        <w:ind w:left="360" w:hanging="360"/>
      </w:pPr>
      <w:r>
        <w:rPr>
          <w:rFonts w:ascii="Calibri" w:hAnsi="Calibri"/>
          <w:b/>
          <w:color w:val="525866"/>
          <w:sz w:val="22"/>
        </w:rPr>
        <w:t>Exceptional Insurer Profitability (Positive Read-Through):</w:t>
      </w:r>
      <w:r>
        <w:rPr>
          <w:rFonts w:ascii="Calibri" w:hAnsi="Calibri"/>
          <w:color w:val="525866"/>
          <w:sz w:val="22"/>
        </w:rPr>
        <w:t xml:space="preserve"> TRV reported core income of $2.2B ($10.04/diluted share), core ROE of 24.9%, and underwriting income of $1.7B pre-tax. Combined ratio improved to 83.6% (underlying 84.1%). Net investment income grew +14% to $883M. </w:t>
      </w:r>
      <w:r>
        <w:rPr>
          <w:rFonts w:ascii="Calibri" w:hAnsi="Calibri"/>
          <w:b/>
          <w:color w:val="525866"/>
          <w:sz w:val="22"/>
        </w:rPr>
        <w:t>VRSK implication:</w:t>
      </w:r>
      <w:r>
        <w:rPr>
          <w:rFonts w:ascii="Calibri" w:hAnsi="Calibri"/>
          <w:color w:val="525866"/>
          <w:sz w:val="22"/>
        </w:rPr>
        <w:t xml:space="preserve"> Strong carrier profitability supports technology investment budgets. TRV explicitly stated it is investing 'well more than a billion and a half dollars a year, including in focused technology initiatives such as AI.'</w:t>
      </w:r>
    </w:p>
    <w:p>
      <w:pPr>
        <w:pStyle w:val="ListBullet"/>
        <w:ind w:left="360" w:hanging="360"/>
      </w:pPr>
      <w:r>
        <w:rPr>
          <w:rFonts w:ascii="Calibri" w:hAnsi="Calibri"/>
          <w:b/>
          <w:color w:val="525866"/>
          <w:sz w:val="22"/>
        </w:rPr>
        <w:t>AI Investment in Underwriting Workflows (Positive Read-Through):</w:t>
      </w:r>
      <w:r>
        <w:rPr>
          <w:rFonts w:ascii="Calibri" w:hAnsi="Calibri"/>
          <w:color w:val="525866"/>
          <w:sz w:val="22"/>
        </w:rPr>
        <w:t xml:space="preserve"> TRV highlighted AI advancements in its Travis digital platform enabling 'submission upload seamless through advanced data extraction, rapid prefill of submission information, and the application of sophisticated underwriting rules that generate quotes in seconds.' Also cited 'the impact of AI on straight through claims processing.' </w:t>
      </w:r>
      <w:r>
        <w:rPr>
          <w:rFonts w:ascii="Calibri" w:hAnsi="Calibri"/>
          <w:b/>
          <w:color w:val="525866"/>
          <w:sz w:val="22"/>
        </w:rPr>
        <w:t>VRSK implication:</w:t>
      </w:r>
      <w:r>
        <w:rPr>
          <w:rFonts w:ascii="Calibri" w:hAnsi="Calibri"/>
          <w:color w:val="525866"/>
          <w:sz w:val="22"/>
        </w:rPr>
        <w:t xml:space="preserve"> Carriers are actively deploying AI in core underwriting and claims workflows — exactly the use cases VRSK's MCP connectors and AI-integrated data products target. TRV's investment validates the demand environment for VRSK's solutions.</w:t>
      </w:r>
    </w:p>
    <w:p>
      <w:pPr>
        <w:pStyle w:val="ListBullet"/>
        <w:ind w:left="360" w:hanging="360"/>
      </w:pPr>
      <w:r>
        <w:rPr>
          <w:rFonts w:ascii="Calibri" w:hAnsi="Calibri"/>
          <w:b/>
          <w:color w:val="525866"/>
          <w:sz w:val="22"/>
        </w:rPr>
        <w:t>Premium Growth Across Segments (Positive Read-Through):</w:t>
      </w:r>
      <w:r>
        <w:rPr>
          <w:rFonts w:ascii="Calibri" w:hAnsi="Calibri"/>
          <w:color w:val="525866"/>
          <w:sz w:val="22"/>
        </w:rPr>
        <w:t xml:space="preserve"> Total net written premiums of $11.5B in Q2. Business Insurance NWP +5% to $6B (record new business of $805M, +8%); Bond &amp; Specialty +14% to record $1.2B (Surety +40% driven by data center bonding); Personal Insurance $4.3B. </w:t>
      </w:r>
      <w:r>
        <w:rPr>
          <w:rFonts w:ascii="Calibri" w:hAnsi="Calibri"/>
          <w:b/>
          <w:color w:val="525866"/>
          <w:sz w:val="22"/>
        </w:rPr>
        <w:t>VRSK implication:</w:t>
      </w:r>
      <w:r>
        <w:rPr>
          <w:rFonts w:ascii="Calibri" w:hAnsi="Calibri"/>
          <w:color w:val="525866"/>
          <w:sz w:val="22"/>
        </w:rPr>
        <w:t xml:space="preserve"> Broad-based premium growth, particularly in specialty lines and data center-related bonding, expands the addressable market for VRSK's data and analytics.</w:t>
      </w:r>
    </w:p>
    <w:p>
      <w:pPr>
        <w:pStyle w:val="ListBullet"/>
        <w:ind w:left="360" w:hanging="360"/>
      </w:pPr>
      <w:r>
        <w:rPr>
          <w:rFonts w:ascii="Calibri" w:hAnsi="Calibri"/>
          <w:b/>
          <w:color w:val="525866"/>
          <w:sz w:val="22"/>
        </w:rPr>
        <w:t>Catastrophe Losses (Positive Read-Through for Transactional Revenue):</w:t>
      </w:r>
      <w:r>
        <w:rPr>
          <w:rFonts w:ascii="Calibri" w:hAnsi="Calibri"/>
          <w:color w:val="525866"/>
          <w:sz w:val="22"/>
        </w:rPr>
        <w:t xml:space="preserve"> After-tax cat losses were 'a little more than $400M' in Q2 2026. TRV replaced its expiring cat bond with a new $750M bond (up from $575M) and renewed its northeast property cat XOL treaty. </w:t>
      </w:r>
      <w:r>
        <w:rPr>
          <w:rFonts w:ascii="Calibri" w:hAnsi="Calibri"/>
          <w:b/>
          <w:color w:val="525866"/>
          <w:sz w:val="22"/>
        </w:rPr>
        <w:t>VRSK implication:</w:t>
      </w:r>
      <w:r>
        <w:rPr>
          <w:rFonts w:ascii="Calibri" w:hAnsi="Calibri"/>
          <w:color w:val="525866"/>
          <w:sz w:val="22"/>
        </w:rPr>
        <w:t xml:space="preserve"> Elevated but manageable cat losses confirm more normalized weather activity in Q2 2026 vs. 2025, supporting VRSK's transactional revenue recovery thesis. Active reinsurance management also validates demand for VRSK's catastrophe modeling tools.</w:t>
      </w:r>
    </w:p>
    <w:p>
      <w:pPr>
        <w:pStyle w:val="ListBullet"/>
        <w:ind w:left="360" w:hanging="360"/>
      </w:pPr>
      <w:r>
        <w:rPr>
          <w:rFonts w:ascii="Calibri" w:hAnsi="Calibri"/>
          <w:b/>
          <w:color w:val="525866"/>
          <w:sz w:val="22"/>
        </w:rPr>
        <w:t>Pricing Environment (Neutral Read-Through):</w:t>
      </w:r>
      <w:r>
        <w:rPr>
          <w:rFonts w:ascii="Calibri" w:hAnsi="Calibri"/>
          <w:color w:val="525866"/>
          <w:sz w:val="22"/>
        </w:rPr>
        <w:t xml:space="preserve"> Business Insurance renewal premium change of 4.8% (core middle market 6.1%, small commercial 9.4%). Personal auto pricing 'flat' and 'continuing to decrease.' Property pricing moderating. </w:t>
      </w:r>
      <w:r>
        <w:rPr>
          <w:rFonts w:ascii="Calibri" w:hAnsi="Calibri"/>
          <w:b/>
          <w:color w:val="525866"/>
          <w:sz w:val="22"/>
        </w:rPr>
        <w:t>VRSK implication:</w:t>
      </w:r>
      <w:r>
        <w:rPr>
          <w:rFonts w:ascii="Calibri" w:hAnsi="Calibri"/>
          <w:color w:val="525866"/>
          <w:sz w:val="22"/>
        </w:rPr>
        <w:t xml:space="preserve"> Softening pricing in personal auto and property is consistent with the soft market narrative management discussed at Q1 earnings. VRSK's value-based pricing strategy is designed to be resilient across cycles, but the soft market reduces the formula-driven pricing tailwind from net written premium growth.</w:t>
      </w:r>
    </w:p>
    <w:p>
      <w:pPr>
        <w:pStyle w:val="Heading3"/>
      </w:pPr>
      <w:r>
        <w:rPr>
          <w:rFonts w:ascii="Calibri" w:hAnsi="Calibri"/>
          <w:b/>
          <w:color w:val="3B4259"/>
          <w:sz w:val="24"/>
        </w:rPr>
        <w:t>7c. Chubb (CB) — Q2 2026 Results (Reported July 22, 2026)</w:t>
      </w:r>
    </w:p>
    <w:p>
      <w:pPr>
        <w:pStyle w:val="ListBullet"/>
        <w:ind w:left="360" w:hanging="360"/>
      </w:pPr>
      <w:r>
        <w:rPr>
          <w:rFonts w:ascii="Calibri" w:hAnsi="Calibri"/>
          <w:b/>
          <w:color w:val="525866"/>
          <w:sz w:val="22"/>
        </w:rPr>
        <w:t>Strong Profitability Despite Soft Market Spread (Mixed Read-Through):</w:t>
      </w:r>
      <w:r>
        <w:rPr>
          <w:rFonts w:ascii="Calibri" w:hAnsi="Calibri"/>
          <w:color w:val="525866"/>
          <w:sz w:val="22"/>
        </w:rPr>
        <w:t xml:space="preserve"> CB reported core operating earnings of $2.8B ($7.26/share, +18.2% YoY), core operating ROE of 21.2%, and PNC underwriting income of $1.9B+ (combined ratio 83.8% ex-cats, 82.2% overall). Record book value of $75B. </w:t>
      </w:r>
      <w:r>
        <w:rPr>
          <w:rFonts w:ascii="Calibri" w:hAnsi="Calibri"/>
          <w:b/>
          <w:color w:val="525866"/>
          <w:sz w:val="22"/>
        </w:rPr>
        <w:t>VRSK implication:</w:t>
      </w:r>
      <w:r>
        <w:rPr>
          <w:rFonts w:ascii="Calibri" w:hAnsi="Calibri"/>
          <w:color w:val="525866"/>
          <w:sz w:val="22"/>
        </w:rPr>
        <w:t xml:space="preserve"> Strong profitability at a diversified global insurer supports technology investment. However, CB explicitly warned that soft market conditions are spreading 'beyond property to more casualty lines' and that 'pricing in certain areas of casualty are failing to keep pace with loss costs.'</w:t>
      </w:r>
    </w:p>
    <w:p>
      <w:pPr>
        <w:pStyle w:val="ListBullet"/>
        <w:ind w:left="360" w:hanging="360"/>
      </w:pPr>
      <w:r>
        <w:rPr>
          <w:rFonts w:ascii="Calibri" w:hAnsi="Calibri"/>
          <w:b/>
          <w:color w:val="525866"/>
          <w:sz w:val="22"/>
        </w:rPr>
        <w:t>Soft Market Spreading to Casualty (Cautionary Read-Through):</w:t>
      </w:r>
      <w:r>
        <w:rPr>
          <w:rFonts w:ascii="Calibri" w:hAnsi="Calibri"/>
          <w:color w:val="525866"/>
          <w:sz w:val="22"/>
        </w:rPr>
        <w:t xml:space="preserve"> CB noted 'naive newer players, particularly financial lines, MGAs and smaller companies, are underwriting at prices and terms that are inadequate.' Property pricing down ~6% (down 12% in shared/layered major accounts). North America casualty pricing +7.1% but CB is 'purposely shrinking' in inadequate-priced areas. </w:t>
      </w:r>
      <w:r>
        <w:rPr>
          <w:rFonts w:ascii="Calibri" w:hAnsi="Calibri"/>
          <w:b/>
          <w:color w:val="525866"/>
          <w:sz w:val="22"/>
        </w:rPr>
        <w:t>VRSK implication:</w:t>
      </w:r>
      <w:r>
        <w:rPr>
          <w:rFonts w:ascii="Calibri" w:hAnsi="Calibri"/>
          <w:color w:val="525866"/>
          <w:sz w:val="22"/>
        </w:rPr>
        <w:t xml:space="preserve"> Widespread soft pricing and inadequate underwriting by newer entrants increases the need for sophisticated risk selection and pricing tools — a positive for VRSK's core value proposition. However, CB's deliberate premium shedding in property reduces the overall premium volume growth that drives VRSK's formula-based pricing contracts.</w:t>
      </w:r>
    </w:p>
    <w:p>
      <w:pPr>
        <w:pStyle w:val="ListBullet"/>
        <w:ind w:left="360" w:hanging="360"/>
      </w:pPr>
      <w:r>
        <w:rPr>
          <w:rFonts w:ascii="Calibri" w:hAnsi="Calibri"/>
          <w:b/>
          <w:color w:val="525866"/>
          <w:sz w:val="22"/>
        </w:rPr>
        <w:t>Catastrophe Losses (Positive Read-Through for Transactional Revenue):</w:t>
      </w:r>
      <w:r>
        <w:rPr>
          <w:rFonts w:ascii="Calibri" w:hAnsi="Calibri"/>
          <w:color w:val="525866"/>
          <w:sz w:val="22"/>
        </w:rPr>
        <w:t xml:space="preserve"> Pre-tax catastrophe losses of $475M in Q2 2026, 'principally from weather-related events in the U.S.' U.S. casualty loss costs rising at 6–7% for primary casualty and 9–12% for excess annually. </w:t>
      </w:r>
      <w:r>
        <w:rPr>
          <w:rFonts w:ascii="Calibri" w:hAnsi="Calibri"/>
          <w:b/>
          <w:color w:val="525866"/>
          <w:sz w:val="22"/>
        </w:rPr>
        <w:t>VRSK implication:</w:t>
      </w:r>
      <w:r>
        <w:rPr>
          <w:rFonts w:ascii="Calibri" w:hAnsi="Calibri"/>
          <w:color w:val="525866"/>
          <w:sz w:val="22"/>
        </w:rPr>
        <w:t xml:space="preserve"> Significant U.S. weather-related cat losses in Q2 2026 confirm the transactional revenue recovery thesis for VRSK. Rising casualty loss costs also validate demand for VRSK's casualty analytics and anti-fraud solutions.</w:t>
      </w:r>
    </w:p>
    <w:p>
      <w:pPr>
        <w:pStyle w:val="ListBullet"/>
        <w:ind w:left="360" w:hanging="360"/>
      </w:pPr>
      <w:r>
        <w:rPr>
          <w:rFonts w:ascii="Calibri" w:hAnsi="Calibri"/>
          <w:b/>
          <w:color w:val="525866"/>
          <w:sz w:val="22"/>
        </w:rPr>
        <w:t>Technology &amp; AI Investment (Positive Read-Through):</w:t>
      </w:r>
      <w:r>
        <w:rPr>
          <w:rFonts w:ascii="Calibri" w:hAnsi="Calibri"/>
          <w:color w:val="525866"/>
          <w:sz w:val="22"/>
        </w:rPr>
        <w:t xml:space="preserve"> CB emphasized 'employment of tech and AI and the insights and efficiencies we are and will gain' support combined ratio improvement. Token costs for AI are 'a minor fraction relative to the efficiencies and insights gained.' CB views 'data and scale and size and breadth of capability' as a competitive advantage. </w:t>
      </w:r>
      <w:r>
        <w:rPr>
          <w:rFonts w:ascii="Calibri" w:hAnsi="Calibri"/>
          <w:b/>
          <w:color w:val="525866"/>
          <w:sz w:val="22"/>
        </w:rPr>
        <w:t>VRSK implication:</w:t>
      </w:r>
      <w:r>
        <w:rPr>
          <w:rFonts w:ascii="Calibri" w:hAnsi="Calibri"/>
          <w:color w:val="525866"/>
          <w:sz w:val="22"/>
        </w:rPr>
        <w:t xml:space="preserve"> CB's willingness to invest in AI despite token costs, and its framing of data/scale as a competitive advantage, validates VRSK's positioning as a critical data infrastructure provider.</w:t>
      </w:r>
    </w:p>
    <w:p>
      <w:pPr>
        <w:pStyle w:val="Heading3"/>
      </w:pPr>
      <w:r>
        <w:rPr>
          <w:rFonts w:ascii="Calibri" w:hAnsi="Calibri"/>
          <w:b/>
          <w:color w:val="3B4259"/>
          <w:sz w:val="24"/>
        </w:rPr>
        <w:t>7d. The Hartford (HIG) — Q2 2026 Results (Reported July 24, 2026)</w:t>
      </w:r>
    </w:p>
    <w:p>
      <w:pPr>
        <w:pStyle w:val="ListBullet"/>
        <w:ind w:left="360" w:hanging="360"/>
      </w:pPr>
      <w:r>
        <w:rPr>
          <w:rFonts w:ascii="Calibri" w:hAnsi="Calibri"/>
          <w:b/>
          <w:color w:val="525866"/>
          <w:sz w:val="22"/>
        </w:rPr>
        <w:t>Strong Overall Performance (Positive Read-Through):</w:t>
      </w:r>
      <w:r>
        <w:rPr>
          <w:rFonts w:ascii="Calibri" w:hAnsi="Calibri"/>
          <w:color w:val="525866"/>
          <w:sz w:val="22"/>
        </w:rPr>
        <w:t xml:space="preserve"> HIG reported core earnings of $945M ($3.42/diluted share), core earnings ROE of 18.7% (trailing 12 months), and book value per share (ex-AOCI) of $78.91 (+15% YoY). Business Insurance written premium growth of +5% with underlying combined ratio of 89.3. </w:t>
      </w:r>
      <w:r>
        <w:rPr>
          <w:rFonts w:ascii="Calibri" w:hAnsi="Calibri"/>
          <w:b/>
          <w:color w:val="525866"/>
          <w:sz w:val="22"/>
        </w:rPr>
        <w:t>VRSK implication:</w:t>
      </w:r>
      <w:r>
        <w:rPr>
          <w:rFonts w:ascii="Calibri" w:hAnsi="Calibri"/>
          <w:color w:val="525866"/>
          <w:sz w:val="22"/>
        </w:rPr>
        <w:t xml:space="preserve"> Healthy carrier profitability supports technology investment budgets across all segments.</w:t>
      </w:r>
    </w:p>
    <w:p>
      <w:pPr>
        <w:pStyle w:val="ListBullet"/>
        <w:ind w:left="360" w:hanging="360"/>
      </w:pPr>
      <w:r>
        <w:rPr>
          <w:rFonts w:ascii="Calibri" w:hAnsi="Calibri"/>
          <w:b/>
          <w:color w:val="525866"/>
          <w:sz w:val="22"/>
        </w:rPr>
        <w:t>AI Investment in Underwriting (Positive Read-Through):</w:t>
      </w:r>
      <w:r>
        <w:rPr>
          <w:rFonts w:ascii="Calibri" w:hAnsi="Calibri"/>
          <w:color w:val="525866"/>
          <w:sz w:val="22"/>
        </w:rPr>
        <w:t xml:space="preserve"> HIG is investing in 'AI enabled capabilities that enhance underwriting effectiveness by providing faster access to risk insights directly in our underwriting workflows,' with early results showing 'underwriting activities being completed in a fraction of the time.' A key theme at HIG's PNC Agent Summit (May 2026) was 'the importance of risk mitigation, as customers increasingly look for insights and expertise to help prevent losses.' </w:t>
      </w:r>
      <w:r>
        <w:rPr>
          <w:rFonts w:ascii="Calibri" w:hAnsi="Calibri"/>
          <w:b/>
          <w:color w:val="525866"/>
          <w:sz w:val="22"/>
        </w:rPr>
        <w:t>VRSK implication:</w:t>
      </w:r>
      <w:r>
        <w:rPr>
          <w:rFonts w:ascii="Calibri" w:hAnsi="Calibri"/>
          <w:color w:val="525866"/>
          <w:sz w:val="22"/>
        </w:rPr>
        <w:t xml:space="preserve"> HIG's AI investment in underwriting workflows and risk mitigation directly validates demand for VRSK's AI-integrated data products and workflow solutions.</w:t>
      </w:r>
    </w:p>
    <w:p>
      <w:pPr>
        <w:pStyle w:val="ListBullet"/>
        <w:ind w:left="360" w:hanging="360"/>
      </w:pPr>
      <w:r>
        <w:rPr>
          <w:rFonts w:ascii="Calibri" w:hAnsi="Calibri"/>
          <w:b/>
          <w:color w:val="525866"/>
          <w:sz w:val="22"/>
        </w:rPr>
        <w:t>Competitive Pressure in Middle Market (Cautionary Read-Through):</w:t>
      </w:r>
      <w:r>
        <w:rPr>
          <w:rFonts w:ascii="Calibri" w:hAnsi="Calibri"/>
          <w:color w:val="525866"/>
          <w:sz w:val="22"/>
        </w:rPr>
        <w:t xml:space="preserve"> HIG noted competition 'picked up' in middle and large market GL and workers compensation in Q2 2026, which 'will impact our growth in the second half of the year.' Personal Insurance written premium declined 7% (auto -10%). </w:t>
      </w:r>
      <w:r>
        <w:rPr>
          <w:rFonts w:ascii="Calibri" w:hAnsi="Calibri"/>
          <w:b/>
          <w:color w:val="525866"/>
          <w:sz w:val="22"/>
        </w:rPr>
        <w:t>VRSK implication:</w:t>
      </w:r>
      <w:r>
        <w:rPr>
          <w:rFonts w:ascii="Calibri" w:hAnsi="Calibri"/>
          <w:color w:val="525866"/>
          <w:sz w:val="22"/>
        </w:rPr>
        <w:t xml:space="preserve"> Increasing competition and premium volume pressure in certain lines could moderate the net written premium growth that feeds VRSK's formula-based pricing contracts with a 2-year lag.</w:t>
      </w:r>
    </w:p>
    <w:p>
      <w:pPr>
        <w:pStyle w:val="ListBullet"/>
        <w:ind w:left="360" w:hanging="360"/>
      </w:pPr>
      <w:r>
        <w:rPr>
          <w:rFonts w:ascii="Calibri" w:hAnsi="Calibri"/>
          <w:b/>
          <w:color w:val="525866"/>
          <w:sz w:val="22"/>
        </w:rPr>
        <w:t>Adverse Reserve Development in GL and Commercial Auto (Cautionary Read-Through):</w:t>
      </w:r>
      <w:r>
        <w:rPr>
          <w:rFonts w:ascii="Calibri" w:hAnsi="Calibri"/>
          <w:color w:val="525866"/>
          <w:sz w:val="22"/>
        </w:rPr>
        <w:t xml:space="preserve"> HIG increased GL reserves by $46M in Q2 2026 'primarily to reflect a higher frequency of large losses in excess casualty and umbrella lines across multiple accident years.' Commercial auto reserves increased due to 'higher severity than previously estimated' and 'increasing attorney representation and time limit demands.' </w:t>
      </w:r>
      <w:r>
        <w:rPr>
          <w:rFonts w:ascii="Calibri" w:hAnsi="Calibri"/>
          <w:b/>
          <w:color w:val="525866"/>
          <w:sz w:val="22"/>
        </w:rPr>
        <w:t>VRSK implication:</w:t>
      </w:r>
      <w:r>
        <w:rPr>
          <w:rFonts w:ascii="Calibri" w:hAnsi="Calibri"/>
          <w:color w:val="525866"/>
          <w:sz w:val="22"/>
        </w:rPr>
        <w:t xml:space="preserve"> Rising casualty loss costs and adverse development increase demand for VRSK's casualty analytics, anti-fraud, and litigation support tools.</w:t>
      </w:r>
    </w:p>
    <w:p>
      <w:pPr>
        <w:pStyle w:val="ListBullet"/>
        <w:ind w:left="360" w:hanging="360"/>
      </w:pPr>
      <w:r>
        <w:rPr>
          <w:rFonts w:ascii="Calibri" w:hAnsi="Calibri"/>
          <w:b/>
          <w:color w:val="525866"/>
          <w:sz w:val="22"/>
        </w:rPr>
        <w:t>Catastrophe Losses (Positive Read-Through for Transactional Revenue):</w:t>
      </w:r>
      <w:r>
        <w:rPr>
          <w:rFonts w:ascii="Calibri" w:hAnsi="Calibri"/>
          <w:color w:val="525866"/>
          <w:sz w:val="22"/>
        </w:rPr>
        <w:t xml:space="preserve"> PNC current accident year cat losses of $222M before tax in Q2 2026 (up from $212M in Q2 2025). Catastrophe ratio unchanged at 4.9 combined ratio points. </w:t>
      </w:r>
      <w:r>
        <w:rPr>
          <w:rFonts w:ascii="Calibri" w:hAnsi="Calibri"/>
          <w:b/>
          <w:color w:val="525866"/>
          <w:sz w:val="22"/>
        </w:rPr>
        <w:t>VRSK implication:</w:t>
      </w:r>
      <w:r>
        <w:rPr>
          <w:rFonts w:ascii="Calibri" w:hAnsi="Calibri"/>
          <w:color w:val="525866"/>
          <w:sz w:val="22"/>
        </w:rPr>
        <w:t xml:space="preserve"> Consistent with the broader peer picture of more normalized weather activity in Q2 2026, supporting VRSK's transactional revenue recovery.</w:t>
      </w:r>
    </w:p>
    <w:p>
      <w:pPr>
        <w:pStyle w:val="Heading3"/>
      </w:pPr>
      <w:r>
        <w:rPr>
          <w:rFonts w:ascii="Calibri" w:hAnsi="Calibri"/>
          <w:b/>
          <w:color w:val="3B4259"/>
          <w:sz w:val="24"/>
        </w:rPr>
        <w:t>7e. S&amp;P Global (SPGI) — Q2 2026 Results (Reported July 28, 2026)</w:t>
      </w:r>
    </w:p>
    <w:p>
      <w:pPr>
        <w:pStyle w:val="ListBullet"/>
        <w:ind w:left="360" w:hanging="360"/>
      </w:pPr>
      <w:r>
        <w:rPr>
          <w:rFonts w:ascii="Calibri" w:hAnsi="Calibri"/>
          <w:b/>
          <w:color w:val="525866"/>
          <w:sz w:val="22"/>
        </w:rPr>
        <w:t>Strong Data/Analytics Demand (Positive Read-Through):</w:t>
      </w:r>
      <w:r>
        <w:rPr>
          <w:rFonts w:ascii="Calibri" w:hAnsi="Calibri"/>
          <w:color w:val="525866"/>
          <w:sz w:val="22"/>
        </w:rPr>
        <w:t xml:space="preserve"> SPGI reported 11% total revenue growth in Q2 2026. Market Intelligence ACV growth for AI customers was '60% faster' than average. API call volume for LLM-ready APIs was 'more than five times the volume in Q1.' MCP and smart API connections exceeded 500 customers, growing 70%+ QoQ. </w:t>
      </w:r>
      <w:r>
        <w:rPr>
          <w:rFonts w:ascii="Calibri" w:hAnsi="Calibri"/>
          <w:b/>
          <w:color w:val="525866"/>
          <w:sz w:val="22"/>
        </w:rPr>
        <w:t>VRSK implication:</w:t>
      </w:r>
      <w:r>
        <w:rPr>
          <w:rFonts w:ascii="Calibri" w:hAnsi="Calibri"/>
          <w:color w:val="525866"/>
          <w:sz w:val="22"/>
        </w:rPr>
        <w:t xml:space="preserve"> Accelerating AI-driven data demand at a comparable data/analytics company validates VRSK's thesis that AI increases demand for high-quality proprietary data sets. VRSK's own MCP connector launch (Anthropic, May 2026) is directionally consistent with SPGI's experience.</w:t>
      </w:r>
    </w:p>
    <w:p>
      <w:pPr>
        <w:pStyle w:val="ListBullet"/>
        <w:ind w:left="360" w:hanging="360"/>
      </w:pPr>
      <w:r>
        <w:rPr>
          <w:rFonts w:ascii="Calibri" w:hAnsi="Calibri"/>
          <w:b/>
          <w:color w:val="525866"/>
          <w:sz w:val="22"/>
        </w:rPr>
        <w:t>Elongated Sales Cycles for AI Contracts (Cautionary Read-Through):</w:t>
      </w:r>
      <w:r>
        <w:rPr>
          <w:rFonts w:ascii="Calibri" w:hAnsi="Calibri"/>
          <w:color w:val="525866"/>
          <w:sz w:val="22"/>
        </w:rPr>
        <w:t xml:space="preserve"> SPGI noted 'elongated sales cycles' with larger clients due to 'substantial conversations around use of AI and use of our IP and data for AI' and the need to protect intellectual property. Customers are 'more rigorously evaluating AI budgets to prioritize those solutions that truly create positive ROI.' </w:t>
      </w:r>
      <w:r>
        <w:rPr>
          <w:rFonts w:ascii="Calibri" w:hAnsi="Calibri"/>
          <w:b/>
          <w:color w:val="525866"/>
          <w:sz w:val="22"/>
        </w:rPr>
        <w:t>VRSK implication:</w:t>
      </w:r>
      <w:r>
        <w:rPr>
          <w:rFonts w:ascii="Calibri" w:hAnsi="Calibri"/>
          <w:color w:val="525866"/>
          <w:sz w:val="22"/>
        </w:rPr>
        <w:t xml:space="preserve"> Directly consistent with VRSK's Q1 2026 commentary about 'extended sales cycles related to the more complex contracting to incorporate AI governance and compliance.' This is a known headwind that management has already flagged, so it should not be a new negative surprise.</w:t>
      </w:r>
    </w:p>
    <w:p>
      <w:pPr>
        <w:pStyle w:val="ListBullet"/>
        <w:ind w:left="360" w:hanging="360"/>
      </w:pPr>
      <w:r>
        <w:rPr>
          <w:rFonts w:ascii="Calibri" w:hAnsi="Calibri"/>
          <w:b/>
          <w:color w:val="525866"/>
          <w:sz w:val="22"/>
        </w:rPr>
        <w:t>Vendor Consolidation as Tailwind (Positive Read-Through):</w:t>
      </w:r>
      <w:r>
        <w:rPr>
          <w:rFonts w:ascii="Calibri" w:hAnsi="Calibri"/>
          <w:color w:val="525866"/>
          <w:sz w:val="22"/>
        </w:rPr>
        <w:t xml:space="preserve"> SPGI noted 'vendor consolidation continues to be a tailwind for our business' in Market Intelligence. </w:t>
      </w:r>
      <w:r>
        <w:rPr>
          <w:rFonts w:ascii="Calibri" w:hAnsi="Calibri"/>
          <w:b/>
          <w:color w:val="525866"/>
          <w:sz w:val="22"/>
        </w:rPr>
        <w:t>VRSK implication:</w:t>
      </w:r>
      <w:r>
        <w:rPr>
          <w:rFonts w:ascii="Calibri" w:hAnsi="Calibri"/>
          <w:color w:val="525866"/>
          <w:sz w:val="22"/>
        </w:rPr>
        <w:t xml:space="preserve"> As a dominant, integrated data provider to the insurance industry, VRSK is well-positioned to benefit from carrier vendor consolidation trends.</w:t>
      </w:r>
    </w:p>
    <w:p>
      <w:pPr>
        <w:pStyle w:val="Heading3"/>
      </w:pPr>
      <w:r>
        <w:rPr>
          <w:rFonts w:ascii="Calibri" w:hAnsi="Calibri"/>
          <w:b/>
          <w:color w:val="3B4259"/>
          <w:sz w:val="24"/>
        </w:rPr>
        <w:t>7f. Moody's (MCO) — Q2 2026 Results (Reported July 22, 2026)</w:t>
      </w:r>
    </w:p>
    <w:p>
      <w:pPr>
        <w:pStyle w:val="ListBullet"/>
        <w:ind w:left="360" w:hanging="360"/>
      </w:pPr>
      <w:r>
        <w:rPr>
          <w:rFonts w:ascii="Calibri" w:hAnsi="Calibri"/>
          <w:b/>
          <w:color w:val="525866"/>
          <w:sz w:val="22"/>
        </w:rPr>
        <w:t>Insurance Analytics Demand Accelerating (Positive Read-Through):</w:t>
      </w:r>
      <w:r>
        <w:rPr>
          <w:rFonts w:ascii="Calibri" w:hAnsi="Calibri"/>
          <w:color w:val="525866"/>
          <w:sz w:val="22"/>
        </w:rPr>
        <w:t xml:space="preserve"> MCO's Insurance AR grew 9% in Q2 2026, 'supported by strong demand for catastrophic data models and underwriting solutions delivered through our Intelligent Risk platform.' MCO grew IRR by 'nearly 60%' with a top-3 US auto and property insurer driven by 'geospatial AI integration into property underwriting.' MCO also expanded its Lloyd's relationship, growing RR by 12% through deeper penetration into 'data preparation, pricing and regulatory reporting.' </w:t>
      </w:r>
      <w:r>
        <w:rPr>
          <w:rFonts w:ascii="Calibri" w:hAnsi="Calibri"/>
          <w:b/>
          <w:color w:val="525866"/>
          <w:sz w:val="22"/>
        </w:rPr>
        <w:t>VRSK implication:</w:t>
      </w:r>
      <w:r>
        <w:rPr>
          <w:rFonts w:ascii="Calibri" w:hAnsi="Calibri"/>
          <w:color w:val="525866"/>
          <w:sz w:val="22"/>
        </w:rPr>
        <w:t xml:space="preserve"> Strong insurance analytics demand at MCO validates the broader market opportunity. However, MCO's growth in insurance analytics also signals increasing competitive intensity in VRSK's core market.</w:t>
      </w:r>
    </w:p>
    <w:p>
      <w:pPr>
        <w:pStyle w:val="ListBullet"/>
        <w:ind w:left="360" w:hanging="360"/>
      </w:pPr>
      <w:r>
        <w:rPr>
          <w:rFonts w:ascii="Calibri" w:hAnsi="Calibri"/>
          <w:b/>
          <w:color w:val="525866"/>
          <w:sz w:val="22"/>
        </w:rPr>
        <w:t>Cloud Migration Driving Multi-Year Revenue Runway (Positive Read-Through):</w:t>
      </w:r>
      <w:r>
        <w:rPr>
          <w:rFonts w:ascii="Calibri" w:hAnsi="Calibri"/>
          <w:color w:val="525866"/>
          <w:sz w:val="22"/>
        </w:rPr>
        <w:t xml:space="preserve"> MCO announced a 'sunset timeline for on-prem modeling solutions in insurance,' with customers migrating to its cloud-based Intelligent Risk Platform over 'the next several years.' Less than half of MCO's insurance customers have fully transitioned. MCO partnered with AWS to add IRP to the AWS marketplace. </w:t>
      </w:r>
      <w:r>
        <w:rPr>
          <w:rFonts w:ascii="Calibri" w:hAnsi="Calibri"/>
          <w:b/>
          <w:color w:val="525866"/>
          <w:sz w:val="22"/>
        </w:rPr>
        <w:t>VRSK implication:</w:t>
      </w:r>
      <w:r>
        <w:rPr>
          <w:rFonts w:ascii="Calibri" w:hAnsi="Calibri"/>
          <w:color w:val="525866"/>
          <w:sz w:val="22"/>
        </w:rPr>
        <w:t xml:space="preserve"> The industry-wide shift from on-premise to cloud-based catastrophe modeling and analytics creates a multi-year tailwind for VRSK's Synergy Studio (cloud-native SaaS cat modeling platform launched June 2026). VRSK's open ecosystem approach (inviting third-party models) differentiates it from MCO's more closed platform.</w:t>
      </w:r>
    </w:p>
    <w:p>
      <w:pPr>
        <w:pStyle w:val="ListBullet"/>
        <w:ind w:left="360" w:hanging="360"/>
      </w:pPr>
      <w:r>
        <w:rPr>
          <w:rFonts w:ascii="Calibri" w:hAnsi="Calibri"/>
          <w:b/>
          <w:color w:val="525866"/>
          <w:sz w:val="22"/>
        </w:rPr>
        <w:t>Insurance Protection Gap as Long-Term Opportunity (Positive Read-Through):</w:t>
      </w:r>
      <w:r>
        <w:rPr>
          <w:rFonts w:ascii="Calibri" w:hAnsi="Calibri"/>
          <w:color w:val="525866"/>
          <w:sz w:val="22"/>
        </w:rPr>
        <w:t xml:space="preserve"> MCO re-entered the insurance-linked securities market in Q2 2026, serving as both credit rating agency and modeling agent on a €100M flood risk cat bond. MCO estimated the insurance protection gap at '$375 billion and by some estimates, could be as high as $1 trillion.' </w:t>
      </w:r>
      <w:r>
        <w:rPr>
          <w:rFonts w:ascii="Calibri" w:hAnsi="Calibri"/>
          <w:b/>
          <w:color w:val="525866"/>
          <w:sz w:val="22"/>
        </w:rPr>
        <w:t>VRSK implication:</w:t>
      </w:r>
      <w:r>
        <w:rPr>
          <w:rFonts w:ascii="Calibri" w:hAnsi="Calibri"/>
          <w:color w:val="525866"/>
          <w:sz w:val="22"/>
        </w:rPr>
        <w:t xml:space="preserve"> The massive insurance protection gap represents a long-term structural growth driver for catastrophe modeling, risk assessment, and ILS-related analytics — all areas where VRSK competes.</w:t>
      </w:r>
    </w:p>
    <w:p>
      <w:pPr>
        <w:pStyle w:val="ListBullet"/>
        <w:ind w:left="360" w:hanging="360"/>
      </w:pPr>
      <w:r>
        <w:rPr>
          <w:rFonts w:ascii="Calibri" w:hAnsi="Calibri"/>
          <w:b/>
          <w:color w:val="525866"/>
          <w:sz w:val="22"/>
        </w:rPr>
        <w:t>Lower AI Token Costs as Tailwind (Positive Read-Through):</w:t>
      </w:r>
      <w:r>
        <w:rPr>
          <w:rFonts w:ascii="Calibri" w:hAnsi="Calibri"/>
          <w:color w:val="525866"/>
          <w:sz w:val="22"/>
        </w:rPr>
        <w:t xml:space="preserve"> MCO's CFO stated that 'cheaper tokens ultimately would expand usage more than they would compress price,' viewing lower frontier model costs as a tailwind. MCO has 'more than 100 MCP and smart API connections being used and trialed.' </w:t>
      </w:r>
      <w:r>
        <w:rPr>
          <w:rFonts w:ascii="Calibri" w:hAnsi="Calibri"/>
          <w:b/>
          <w:color w:val="525866"/>
          <w:sz w:val="22"/>
        </w:rPr>
        <w:t>VRSK implication:</w:t>
      </w:r>
      <w:r>
        <w:rPr>
          <w:rFonts w:ascii="Calibri" w:hAnsi="Calibri"/>
          <w:color w:val="525866"/>
          <w:sz w:val="22"/>
        </w:rPr>
        <w:t xml:space="preserve"> Consistent with VRSK's own framing of AI as a distribution channel. Lower token costs could accelerate adoption of VRSK's MCP connectors and AI-integrated data products.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Key Peers</w:t>
            </w:r>
          </w:p>
        </w:tc>
        <w:tc>
          <w:tcPr>
            <w:tcW w:type="dxa" w:w="2160"/>
            <w:shd w:val="clear" w:color="auto" w:fill="3B4259"/>
          </w:tcPr>
          <w:p>
            <w:r>
              <w:rPr>
                <w:rFonts w:ascii="Calibri" w:hAnsi="Calibri"/>
                <w:b/>
                <w:color w:val="FFFFFF"/>
                <w:sz w:val="22"/>
              </w:rPr>
              <w:t>VRSK Implication</w:t>
            </w:r>
          </w:p>
        </w:tc>
      </w:tr>
      <w:tr>
        <w:tc>
          <w:tcPr>
            <w:tcW w:type="dxa" w:w="2160"/>
          </w:tcPr>
          <w:p>
            <w:r>
              <w:rPr>
                <w:rFonts w:ascii="Calibri" w:hAnsi="Calibri"/>
                <w:sz w:val="22"/>
              </w:rPr>
              <w:t>Q2 2026 Weather / Cat Activity</w:t>
            </w:r>
          </w:p>
        </w:tc>
        <w:tc>
          <w:tcPr>
            <w:tcW w:type="dxa" w:w="2160"/>
          </w:tcPr>
          <w:p>
            <w:r>
              <w:rPr>
                <w:rFonts w:ascii="Calibri" w:hAnsi="Calibri"/>
                <w:b/>
                <w:color w:val="30A46C"/>
                <w:sz w:val="22"/>
              </w:rPr>
              <w:t>Positive</w:t>
            </w:r>
          </w:p>
        </w:tc>
        <w:tc>
          <w:tcPr>
            <w:tcW w:type="dxa" w:w="2160"/>
          </w:tcPr>
          <w:p>
            <w:r>
              <w:rPr>
                <w:rFonts w:ascii="Calibri" w:hAnsi="Calibri"/>
                <w:sz w:val="22"/>
              </w:rPr>
              <w:t>PGR, TRV, CB, HIG</w:t>
            </w:r>
          </w:p>
        </w:tc>
        <w:tc>
          <w:tcPr>
            <w:tcW w:type="dxa" w:w="2160"/>
          </w:tcPr>
          <w:p>
            <w:r>
              <w:rPr>
                <w:rFonts w:ascii="Calibri" w:hAnsi="Calibri"/>
                <w:sz w:val="22"/>
              </w:rPr>
              <w:t>More normalized cat losses vs. near-zero 2025 → transactional revenue tailwind</w:t>
            </w:r>
          </w:p>
        </w:tc>
      </w:tr>
      <w:tr>
        <w:tc>
          <w:tcPr>
            <w:tcW w:type="dxa" w:w="2160"/>
          </w:tcPr>
          <w:p>
            <w:r>
              <w:rPr>
                <w:rFonts w:ascii="Calibri" w:hAnsi="Calibri"/>
                <w:sz w:val="22"/>
              </w:rPr>
              <w:t>Carrier Technology / AI Investment</w:t>
            </w:r>
          </w:p>
        </w:tc>
        <w:tc>
          <w:tcPr>
            <w:tcW w:type="dxa" w:w="2160"/>
          </w:tcPr>
          <w:p>
            <w:r>
              <w:rPr>
                <w:rFonts w:ascii="Calibri" w:hAnsi="Calibri"/>
                <w:b/>
                <w:color w:val="30A46C"/>
                <w:sz w:val="22"/>
              </w:rPr>
              <w:t>Positive</w:t>
            </w:r>
          </w:p>
        </w:tc>
        <w:tc>
          <w:tcPr>
            <w:tcW w:type="dxa" w:w="2160"/>
          </w:tcPr>
          <w:p>
            <w:r>
              <w:rPr>
                <w:rFonts w:ascii="Calibri" w:hAnsi="Calibri"/>
                <w:sz w:val="22"/>
              </w:rPr>
              <w:t>TRV, CB, HIG</w:t>
            </w:r>
          </w:p>
        </w:tc>
        <w:tc>
          <w:tcPr>
            <w:tcW w:type="dxa" w:w="2160"/>
          </w:tcPr>
          <w:p>
            <w:r>
              <w:rPr>
                <w:rFonts w:ascii="Calibri" w:hAnsi="Calibri"/>
                <w:sz w:val="22"/>
              </w:rPr>
              <w:t>Carriers investing $1.5B+/yr in AI/tech; validates VRSK demand environment</w:t>
            </w:r>
          </w:p>
        </w:tc>
      </w:tr>
      <w:tr>
        <w:tc>
          <w:tcPr>
            <w:tcW w:type="dxa" w:w="2160"/>
          </w:tcPr>
          <w:p>
            <w:r>
              <w:rPr>
                <w:rFonts w:ascii="Calibri" w:hAnsi="Calibri"/>
                <w:sz w:val="22"/>
              </w:rPr>
              <w:t>AI Data Demand Acceleration</w:t>
            </w:r>
          </w:p>
        </w:tc>
        <w:tc>
          <w:tcPr>
            <w:tcW w:type="dxa" w:w="2160"/>
          </w:tcPr>
          <w:p>
            <w:r>
              <w:rPr>
                <w:rFonts w:ascii="Calibri" w:hAnsi="Calibri"/>
                <w:b/>
                <w:color w:val="30A46C"/>
                <w:sz w:val="22"/>
              </w:rPr>
              <w:t>Positive</w:t>
            </w:r>
          </w:p>
        </w:tc>
        <w:tc>
          <w:tcPr>
            <w:tcW w:type="dxa" w:w="2160"/>
          </w:tcPr>
          <w:p>
            <w:r>
              <w:rPr>
                <w:rFonts w:ascii="Calibri" w:hAnsi="Calibri"/>
                <w:sz w:val="22"/>
              </w:rPr>
              <w:t>SPGI, MCO</w:t>
            </w:r>
          </w:p>
        </w:tc>
        <w:tc>
          <w:tcPr>
            <w:tcW w:type="dxa" w:w="2160"/>
          </w:tcPr>
          <w:p>
            <w:r>
              <w:rPr>
                <w:rFonts w:ascii="Calibri" w:hAnsi="Calibri"/>
                <w:sz w:val="22"/>
              </w:rPr>
              <w:t>MCP adoption accelerating; AI customers growing ACV 60% faster (SPGI)</w:t>
            </w:r>
          </w:p>
        </w:tc>
      </w:tr>
      <w:tr>
        <w:tc>
          <w:tcPr>
            <w:tcW w:type="dxa" w:w="2160"/>
          </w:tcPr>
          <w:p>
            <w:r>
              <w:rPr>
                <w:rFonts w:ascii="Calibri" w:hAnsi="Calibri"/>
                <w:sz w:val="22"/>
              </w:rPr>
              <w:t>Elongated AI Sales Cycles</w:t>
            </w:r>
          </w:p>
        </w:tc>
        <w:tc>
          <w:tcPr>
            <w:tcW w:type="dxa" w:w="2160"/>
          </w:tcPr>
          <w:p>
            <w:r>
              <w:rPr>
                <w:rFonts w:ascii="Calibri" w:hAnsi="Calibri"/>
                <w:b/>
                <w:color w:val="E5484D"/>
                <w:sz w:val="22"/>
              </w:rPr>
              <w:t>Cautionary</w:t>
            </w:r>
          </w:p>
        </w:tc>
        <w:tc>
          <w:tcPr>
            <w:tcW w:type="dxa" w:w="2160"/>
          </w:tcPr>
          <w:p>
            <w:r>
              <w:rPr>
                <w:rFonts w:ascii="Calibri" w:hAnsi="Calibri"/>
                <w:sz w:val="22"/>
              </w:rPr>
              <w:t>SPGI, MCO</w:t>
            </w:r>
          </w:p>
        </w:tc>
        <w:tc>
          <w:tcPr>
            <w:tcW w:type="dxa" w:w="2160"/>
          </w:tcPr>
          <w:p>
            <w:r>
              <w:rPr>
                <w:rFonts w:ascii="Calibri" w:hAnsi="Calibri"/>
                <w:sz w:val="22"/>
              </w:rPr>
              <w:t>Complex AI contract negotiations extending sales cycles; known headwind, already flagged by VRSK</w:t>
            </w:r>
          </w:p>
        </w:tc>
      </w:tr>
      <w:tr>
        <w:tc>
          <w:tcPr>
            <w:tcW w:type="dxa" w:w="2160"/>
          </w:tcPr>
          <w:p>
            <w:r>
              <w:rPr>
                <w:rFonts w:ascii="Calibri" w:hAnsi="Calibri"/>
                <w:sz w:val="22"/>
              </w:rPr>
              <w:t>Soft Market Spreading to Casualty</w:t>
            </w:r>
          </w:p>
        </w:tc>
        <w:tc>
          <w:tcPr>
            <w:tcW w:type="dxa" w:w="2160"/>
          </w:tcPr>
          <w:p>
            <w:r>
              <w:rPr>
                <w:rFonts w:ascii="Calibri" w:hAnsi="Calibri"/>
                <w:b/>
                <w:color w:val="E5484D"/>
                <w:sz w:val="22"/>
              </w:rPr>
              <w:t>Cautionary</w:t>
            </w:r>
          </w:p>
        </w:tc>
        <w:tc>
          <w:tcPr>
            <w:tcW w:type="dxa" w:w="2160"/>
          </w:tcPr>
          <w:p>
            <w:r>
              <w:rPr>
                <w:rFonts w:ascii="Calibri" w:hAnsi="Calibri"/>
                <w:sz w:val="22"/>
              </w:rPr>
              <w:t>CB, HIG</w:t>
            </w:r>
          </w:p>
        </w:tc>
        <w:tc>
          <w:tcPr>
            <w:tcW w:type="dxa" w:w="2160"/>
          </w:tcPr>
          <w:p>
            <w:r>
              <w:rPr>
                <w:rFonts w:ascii="Calibri" w:hAnsi="Calibri"/>
                <w:sz w:val="22"/>
              </w:rPr>
              <w:t>Soft pricing in property/casualty reduces formula-driven NWP tailwind for VRSK pricing contracts</w:t>
            </w:r>
          </w:p>
        </w:tc>
      </w:tr>
      <w:tr>
        <w:tc>
          <w:tcPr>
            <w:tcW w:type="dxa" w:w="2160"/>
          </w:tcPr>
          <w:p>
            <w:r>
              <w:rPr>
                <w:rFonts w:ascii="Calibri" w:hAnsi="Calibri"/>
                <w:sz w:val="22"/>
              </w:rPr>
              <w:t>Insurer Profitability</w:t>
            </w:r>
          </w:p>
        </w:tc>
        <w:tc>
          <w:tcPr>
            <w:tcW w:type="dxa" w:w="2160"/>
          </w:tcPr>
          <w:p>
            <w:r>
              <w:rPr>
                <w:rFonts w:ascii="Calibri" w:hAnsi="Calibri"/>
                <w:b/>
                <w:color w:val="30A46C"/>
                <w:sz w:val="22"/>
              </w:rPr>
              <w:t>Positive</w:t>
            </w:r>
          </w:p>
        </w:tc>
        <w:tc>
          <w:tcPr>
            <w:tcW w:type="dxa" w:w="2160"/>
          </w:tcPr>
          <w:p>
            <w:r>
              <w:rPr>
                <w:rFonts w:ascii="Calibri" w:hAnsi="Calibri"/>
                <w:sz w:val="22"/>
              </w:rPr>
              <w:t>TRV, CB, HIG</w:t>
            </w:r>
          </w:p>
        </w:tc>
        <w:tc>
          <w:tcPr>
            <w:tcW w:type="dxa" w:w="2160"/>
          </w:tcPr>
          <w:p>
            <w:r>
              <w:rPr>
                <w:rFonts w:ascii="Calibri" w:hAnsi="Calibri"/>
                <w:sz w:val="22"/>
              </w:rPr>
              <w:t>Strong carrier ROEs support technology investment budgets</w:t>
            </w:r>
          </w:p>
        </w:tc>
      </w:tr>
      <w:tr>
        <w:tc>
          <w:tcPr>
            <w:tcW w:type="dxa" w:w="2160"/>
          </w:tcPr>
          <w:p>
            <w:r>
              <w:rPr>
                <w:rFonts w:ascii="Calibri" w:hAnsi="Calibri"/>
                <w:sz w:val="22"/>
              </w:rPr>
              <w:t>Cloud Migration / Vendor Consolidation</w:t>
            </w:r>
          </w:p>
        </w:tc>
        <w:tc>
          <w:tcPr>
            <w:tcW w:type="dxa" w:w="2160"/>
          </w:tcPr>
          <w:p>
            <w:r>
              <w:rPr>
                <w:rFonts w:ascii="Calibri" w:hAnsi="Calibri"/>
                <w:b/>
                <w:color w:val="30A46C"/>
                <w:sz w:val="22"/>
              </w:rPr>
              <w:t>Positive</w:t>
            </w:r>
          </w:p>
        </w:tc>
        <w:tc>
          <w:tcPr>
            <w:tcW w:type="dxa" w:w="2160"/>
          </w:tcPr>
          <w:p>
            <w:r>
              <w:rPr>
                <w:rFonts w:ascii="Calibri" w:hAnsi="Calibri"/>
                <w:sz w:val="22"/>
              </w:rPr>
              <w:t>MCO, SPGI</w:t>
            </w:r>
          </w:p>
        </w:tc>
        <w:tc>
          <w:tcPr>
            <w:tcW w:type="dxa" w:w="2160"/>
          </w:tcPr>
          <w:p>
            <w:r>
              <w:rPr>
                <w:rFonts w:ascii="Calibri" w:hAnsi="Calibri"/>
                <w:sz w:val="22"/>
              </w:rPr>
              <w:t>Multi-year cloud migration tailwind; vendor consolidation benefits integrated providers like VRSK</w:t>
            </w:r>
          </w:p>
        </w:tc>
      </w:tr>
      <w:tr>
        <w:tc>
          <w:tcPr>
            <w:tcW w:type="dxa" w:w="2160"/>
          </w:tcPr>
          <w:p>
            <w:r>
              <w:rPr>
                <w:rFonts w:ascii="Calibri" w:hAnsi="Calibri"/>
                <w:sz w:val="22"/>
              </w:rPr>
              <w:t>Rising Casualty Loss Costs</w:t>
            </w:r>
          </w:p>
        </w:tc>
        <w:tc>
          <w:tcPr>
            <w:tcW w:type="dxa" w:w="2160"/>
          </w:tcPr>
          <w:p>
            <w:r>
              <w:rPr>
                <w:rFonts w:ascii="Calibri" w:hAnsi="Calibri"/>
                <w:b/>
                <w:color w:val="30A46C"/>
                <w:sz w:val="22"/>
              </w:rPr>
              <w:t>Positive</w:t>
            </w:r>
          </w:p>
        </w:tc>
        <w:tc>
          <w:tcPr>
            <w:tcW w:type="dxa" w:w="2160"/>
          </w:tcPr>
          <w:p>
            <w:r>
              <w:rPr>
                <w:rFonts w:ascii="Calibri" w:hAnsi="Calibri"/>
                <w:sz w:val="22"/>
              </w:rPr>
              <w:t>CB, HIG</w:t>
            </w:r>
          </w:p>
        </w:tc>
        <w:tc>
          <w:tcPr>
            <w:tcW w:type="dxa" w:w="2160"/>
          </w:tcPr>
          <w:p>
            <w:r>
              <w:rPr>
                <w:rFonts w:ascii="Calibri" w:hAnsi="Calibri"/>
                <w:sz w:val="22"/>
              </w:rPr>
              <w:t>6–7% primary casualty / 9–12% excess loss cost inflation → demand for VRSK casualty analytics</w:t>
            </w:r>
          </w:p>
        </w:tc>
      </w:tr>
    </w:tbl>
    <w:p>
      <w:r>
        <w:rPr>
          <w:rFonts w:ascii="Calibri" w:hAnsi="Calibri"/>
          <w:i/>
          <w:color w:val="525866"/>
          <w:sz w:val="22"/>
        </w:rPr>
        <w:t>Sources: Progressive Q2 2026 Earnings Release (July 15, 2026); Travelers Q2 2026 Earnings Call Transcript (July 17, 2026); Chubb Q2 2026 Earnings Call Transcript (July 22, 2026); The Hartford Q2 2026 Earnings Call Transcript (July 24, 2026); S&amp;P Global Q2 2026 Earnings Call Transcript (July 28, 2026); Moody's Q2 2026 Earnings Call Transcript (July 22,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from insiders since Q1 earnings. CFO Elizabeth Mann has executed three small, pre-planned 10b5-1 sales (400 shares each in May, June, and July) at prices ranging from ~$170–$200 — routine and obligation-driven. The only discretionary sale was Director Samuel Liss's 4,671-share open-market sale on June 5 at ~$178.97, which is notable given the stock was near its post-earnings trough at the time. </w:t>
      </w:r>
      <w:r>
        <w:rPr>
          <w:rFonts w:ascii="Calibri" w:hAnsi="Calibri"/>
          <w:b/>
          <w:color w:val="525866"/>
          <w:sz w:val="22"/>
        </w:rPr>
        <w:t>No insider buying signals; the Liss sale at the trough is a mild negative signal but not alarming given the small size relative to his remaining 69,098 shares.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Est.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Elizabeth Mann</w:t>
            </w:r>
          </w:p>
        </w:tc>
        <w:tc>
          <w:tcPr>
            <w:tcW w:type="dxa" w:w="1080"/>
          </w:tcPr>
          <w:p>
            <w:r>
              <w:rPr>
                <w:rFonts w:ascii="Calibri" w:hAnsi="Calibri"/>
                <w:sz w:val="22"/>
              </w:rPr>
              <w:t>CFO</w:t>
            </w:r>
          </w:p>
        </w:tc>
        <w:tc>
          <w:tcPr>
            <w:tcW w:type="dxa" w:w="1080"/>
          </w:tcPr>
          <w:p>
            <w:r>
              <w:rPr>
                <w:rFonts w:ascii="Calibri" w:hAnsi="Calibri"/>
                <w:sz w:val="22"/>
              </w:rPr>
              <w:t>10b5-1 Planned Sale</w:t>
            </w:r>
          </w:p>
        </w:tc>
        <w:tc>
          <w:tcPr>
            <w:tcW w:type="dxa" w:w="1080"/>
          </w:tcPr>
          <w:p>
            <w:r>
              <w:rPr>
                <w:rFonts w:ascii="Calibri" w:hAnsi="Calibri"/>
                <w:sz w:val="22"/>
              </w:rPr>
              <w:t>400</w:t>
            </w:r>
          </w:p>
        </w:tc>
        <w:tc>
          <w:tcPr>
            <w:tcW w:type="dxa" w:w="1080"/>
          </w:tcPr>
          <w:p>
            <w:r>
              <w:rPr>
                <w:rFonts w:ascii="Calibri" w:hAnsi="Calibri"/>
                <w:sz w:val="22"/>
              </w:rPr>
              <w:t>~$76,844</w:t>
            </w:r>
          </w:p>
        </w:tc>
        <w:tc>
          <w:tcPr>
            <w:tcW w:type="dxa" w:w="1080"/>
          </w:tcPr>
          <w:p>
            <w:r>
              <w:rPr>
                <w:rFonts w:ascii="Calibri" w:hAnsi="Calibri"/>
                <w:sz w:val="22"/>
              </w:rPr>
              <w:t>Jul 15, 2026</w:t>
            </w:r>
          </w:p>
        </w:tc>
        <w:tc>
          <w:tcPr>
            <w:tcW w:type="dxa" w:w="1080"/>
          </w:tcPr>
          <w:p>
            <w:r>
              <w:rPr>
                <w:rFonts w:ascii="Calibri" w:hAnsi="Calibri"/>
                <w:sz w:val="22"/>
              </w:rPr>
              <w:t>Jul 15, 2026</w:t>
            </w:r>
          </w:p>
        </w:tc>
        <w:tc>
          <w:tcPr>
            <w:tcW w:type="dxa" w:w="1080"/>
          </w:tcPr>
          <w:p>
            <w:r>
              <w:rPr>
                <w:rFonts w:ascii="Calibri" w:hAnsi="Calibri"/>
                <w:sz w:val="22"/>
              </w:rPr>
              <w:t>Pre-planned 10b5-1 (plan initiated Dec 11, 2025); ~2% of holdings; routine</w:t>
            </w:r>
          </w:p>
        </w:tc>
      </w:tr>
      <w:tr>
        <w:tc>
          <w:tcPr>
            <w:tcW w:type="dxa" w:w="1080"/>
          </w:tcPr>
          <w:p>
            <w:r>
              <w:rPr>
                <w:rFonts w:ascii="Calibri" w:hAnsi="Calibri"/>
                <w:sz w:val="22"/>
              </w:rPr>
              <w:t>Elizabeth Mann</w:t>
            </w:r>
          </w:p>
        </w:tc>
        <w:tc>
          <w:tcPr>
            <w:tcW w:type="dxa" w:w="1080"/>
          </w:tcPr>
          <w:p>
            <w:r>
              <w:rPr>
                <w:rFonts w:ascii="Calibri" w:hAnsi="Calibri"/>
                <w:sz w:val="22"/>
              </w:rPr>
              <w:t>CFO</w:t>
            </w:r>
          </w:p>
        </w:tc>
        <w:tc>
          <w:tcPr>
            <w:tcW w:type="dxa" w:w="1080"/>
          </w:tcPr>
          <w:p>
            <w:r>
              <w:rPr>
                <w:rFonts w:ascii="Calibri" w:hAnsi="Calibri"/>
                <w:sz w:val="22"/>
              </w:rPr>
              <w:t>10b5-1 Planned Sale</w:t>
            </w:r>
          </w:p>
        </w:tc>
        <w:tc>
          <w:tcPr>
            <w:tcW w:type="dxa" w:w="1080"/>
          </w:tcPr>
          <w:p>
            <w:r>
              <w:rPr>
                <w:rFonts w:ascii="Calibri" w:hAnsi="Calibri"/>
                <w:sz w:val="22"/>
              </w:rPr>
              <w:t>400</w:t>
            </w:r>
          </w:p>
        </w:tc>
        <w:tc>
          <w:tcPr>
            <w:tcW w:type="dxa" w:w="1080"/>
          </w:tcPr>
          <w:p>
            <w:r>
              <w:rPr>
                <w:rFonts w:ascii="Calibri" w:hAnsi="Calibri"/>
                <w:sz w:val="22"/>
              </w:rPr>
              <w:t>~$71,844</w:t>
            </w:r>
          </w:p>
        </w:tc>
        <w:tc>
          <w:tcPr>
            <w:tcW w:type="dxa" w:w="1080"/>
          </w:tcPr>
          <w:p>
            <w:r>
              <w:rPr>
                <w:rFonts w:ascii="Calibri" w:hAnsi="Calibri"/>
                <w:sz w:val="22"/>
              </w:rPr>
              <w:t>Jun 15, 2026</w:t>
            </w:r>
          </w:p>
        </w:tc>
        <w:tc>
          <w:tcPr>
            <w:tcW w:type="dxa" w:w="1080"/>
          </w:tcPr>
          <w:p>
            <w:r>
              <w:rPr>
                <w:rFonts w:ascii="Calibri" w:hAnsi="Calibri"/>
                <w:sz w:val="22"/>
              </w:rPr>
              <w:t>Jun 16, 2026</w:t>
            </w:r>
          </w:p>
        </w:tc>
        <w:tc>
          <w:tcPr>
            <w:tcW w:type="dxa" w:w="1080"/>
          </w:tcPr>
          <w:p>
            <w:r>
              <w:rPr>
                <w:rFonts w:ascii="Calibri" w:hAnsi="Calibri"/>
                <w:sz w:val="22"/>
              </w:rPr>
              <w:t>Pre-planned 10b5-1; routine monthly sale; ~2% of holdings at time of sale</w:t>
            </w:r>
          </w:p>
        </w:tc>
      </w:tr>
      <w:tr>
        <w:tc>
          <w:tcPr>
            <w:tcW w:type="dxa" w:w="1080"/>
          </w:tcPr>
          <w:p>
            <w:r>
              <w:rPr>
                <w:rFonts w:ascii="Calibri" w:hAnsi="Calibri"/>
                <w:sz w:val="22"/>
              </w:rPr>
              <w:t>Samuel G. Liss</w:t>
            </w:r>
          </w:p>
        </w:tc>
        <w:tc>
          <w:tcPr>
            <w:tcW w:type="dxa" w:w="1080"/>
          </w:tcPr>
          <w:p>
            <w:r>
              <w:rPr>
                <w:rFonts w:ascii="Calibri" w:hAnsi="Calibri"/>
                <w:sz w:val="22"/>
              </w:rPr>
              <w:t>Director</w:t>
            </w:r>
          </w:p>
        </w:tc>
        <w:tc>
          <w:tcPr>
            <w:tcW w:type="dxa" w:w="1080"/>
          </w:tcPr>
          <w:p>
            <w:r>
              <w:rPr>
                <w:rFonts w:ascii="Calibri" w:hAnsi="Calibri"/>
                <w:sz w:val="22"/>
              </w:rPr>
              <w:t>Open Market Sale</w:t>
            </w:r>
          </w:p>
        </w:tc>
        <w:tc>
          <w:tcPr>
            <w:tcW w:type="dxa" w:w="1080"/>
          </w:tcPr>
          <w:p>
            <w:r>
              <w:rPr>
                <w:rFonts w:ascii="Calibri" w:hAnsi="Calibri"/>
                <w:sz w:val="22"/>
              </w:rPr>
              <w:t>4,671</w:t>
            </w:r>
          </w:p>
        </w:tc>
        <w:tc>
          <w:tcPr>
            <w:tcW w:type="dxa" w:w="1080"/>
          </w:tcPr>
          <w:p>
            <w:r>
              <w:rPr>
                <w:rFonts w:ascii="Calibri" w:hAnsi="Calibri"/>
                <w:sz w:val="22"/>
              </w:rPr>
              <w:t>~$835,000 (est. at ~$178.97)</w:t>
            </w:r>
          </w:p>
        </w:tc>
        <w:tc>
          <w:tcPr>
            <w:tcW w:type="dxa" w:w="1080"/>
          </w:tcPr>
          <w:p>
            <w:r>
              <w:rPr>
                <w:rFonts w:ascii="Calibri" w:hAnsi="Calibri"/>
                <w:sz w:val="22"/>
              </w:rPr>
              <w:t>Jun 5, 2026</w:t>
            </w:r>
          </w:p>
        </w:tc>
        <w:tc>
          <w:tcPr>
            <w:tcW w:type="dxa" w:w="1080"/>
          </w:tcPr>
          <w:p>
            <w:r>
              <w:rPr>
                <w:rFonts w:ascii="Calibri" w:hAnsi="Calibri"/>
                <w:sz w:val="22"/>
              </w:rPr>
              <w:t>Jun 8, 2026</w:t>
            </w:r>
          </w:p>
        </w:tc>
        <w:tc>
          <w:tcPr>
            <w:tcW w:type="dxa" w:w="1080"/>
          </w:tcPr>
          <w:p>
            <w:r>
              <w:rPr>
                <w:rFonts w:ascii="Calibri" w:hAnsi="Calibri"/>
                <w:sz w:val="22"/>
              </w:rPr>
              <w:t>Discretionary open-market sale; no 10b5-1 plan; sold near post-earnings trough; retains 69,098 shares</w:t>
            </w:r>
          </w:p>
        </w:tc>
      </w:tr>
      <w:tr>
        <w:tc>
          <w:tcPr>
            <w:tcW w:type="dxa" w:w="1080"/>
          </w:tcPr>
          <w:p>
            <w:r>
              <w:rPr>
                <w:rFonts w:ascii="Calibri" w:hAnsi="Calibri"/>
                <w:sz w:val="22"/>
              </w:rPr>
              <w:t>Elizabeth Mann</w:t>
            </w:r>
          </w:p>
        </w:tc>
        <w:tc>
          <w:tcPr>
            <w:tcW w:type="dxa" w:w="1080"/>
          </w:tcPr>
          <w:p>
            <w:r>
              <w:rPr>
                <w:rFonts w:ascii="Calibri" w:hAnsi="Calibri"/>
                <w:sz w:val="22"/>
              </w:rPr>
              <w:t>CFO</w:t>
            </w:r>
          </w:p>
        </w:tc>
        <w:tc>
          <w:tcPr>
            <w:tcW w:type="dxa" w:w="1080"/>
          </w:tcPr>
          <w:p>
            <w:r>
              <w:rPr>
                <w:rFonts w:ascii="Calibri" w:hAnsi="Calibri"/>
                <w:sz w:val="22"/>
              </w:rPr>
              <w:t>10b5-1 Planned Sale</w:t>
            </w:r>
          </w:p>
        </w:tc>
        <w:tc>
          <w:tcPr>
            <w:tcW w:type="dxa" w:w="1080"/>
          </w:tcPr>
          <w:p>
            <w:r>
              <w:rPr>
                <w:rFonts w:ascii="Calibri" w:hAnsi="Calibri"/>
                <w:sz w:val="22"/>
              </w:rPr>
              <w:t>400</w:t>
            </w:r>
          </w:p>
        </w:tc>
        <w:tc>
          <w:tcPr>
            <w:tcW w:type="dxa" w:w="1080"/>
          </w:tcPr>
          <w:p>
            <w:r>
              <w:rPr>
                <w:rFonts w:ascii="Calibri" w:hAnsi="Calibri"/>
                <w:sz w:val="22"/>
              </w:rPr>
              <w:t>~$68,348</w:t>
            </w:r>
          </w:p>
        </w:tc>
        <w:tc>
          <w:tcPr>
            <w:tcW w:type="dxa" w:w="1080"/>
          </w:tcPr>
          <w:p>
            <w:r>
              <w:rPr>
                <w:rFonts w:ascii="Calibri" w:hAnsi="Calibri"/>
                <w:sz w:val="22"/>
              </w:rPr>
              <w:t>May 15, 2026</w:t>
            </w:r>
          </w:p>
        </w:tc>
        <w:tc>
          <w:tcPr>
            <w:tcW w:type="dxa" w:w="1080"/>
          </w:tcPr>
          <w:p>
            <w:r>
              <w:rPr>
                <w:rFonts w:ascii="Calibri" w:hAnsi="Calibri"/>
                <w:sz w:val="22"/>
              </w:rPr>
              <w:t>May 15, 2026</w:t>
            </w:r>
          </w:p>
        </w:tc>
        <w:tc>
          <w:tcPr>
            <w:tcW w:type="dxa" w:w="1080"/>
          </w:tcPr>
          <w:p>
            <w:r>
              <w:rPr>
                <w:rFonts w:ascii="Calibri" w:hAnsi="Calibri"/>
                <w:sz w:val="22"/>
              </w:rPr>
              <w:t>Pre-planned 10b5-1; routine monthly sale; stock near post-earnings trough (~$162)</w:t>
            </w:r>
          </w:p>
        </w:tc>
      </w:tr>
    </w:tbl>
    <w:p>
      <w:r>
        <w:rPr>
          <w:rFonts w:ascii="Calibri" w:hAnsi="Calibri"/>
          <w:i/>
          <w:color w:val="525866"/>
          <w:sz w:val="22"/>
        </w:rPr>
        <w:t>Source: SEC Form 4 Filings Database; SEC EDGAR (Form 4 filings for VRSK, May–July 2026).</w:t>
      </w:r>
    </w:p>
    <w:p>
      <w:pPr>
        <w:pStyle w:val="Heading2"/>
      </w:pPr>
      <w:r>
        <w:rPr>
          <w:rFonts w:ascii="Calibri" w:hAnsi="Calibri"/>
          <w:b/>
          <w:color w:val="3B4259"/>
          <w:sz w:val="28"/>
        </w:rPr>
        <w:t>9. Key Risks &amp; Questions for the Call</w:t>
      </w:r>
    </w:p>
    <w:p>
      <w:r>
        <w:rPr>
          <w:rFonts w:ascii="Calibri" w:hAnsi="Calibri"/>
          <w:b/>
          <w:color w:val="525866"/>
          <w:sz w:val="22"/>
        </w:rPr>
        <w:t xml:space="preserve">Key Takeaway: </w:t>
      </w:r>
      <w:r>
        <w:rPr>
          <w:rFonts w:ascii="Calibri" w:hAnsi="Calibri"/>
          <w:color w:val="525866"/>
          <w:sz w:val="22"/>
        </w:rPr>
        <w:t>The primary risks heading into the print are (1) transactional revenue remaining depressed despite weather normalization, (2) AI sales cycle elongation delaying monetization, and (3) the CIO transition creating execution uncertainty at a critical technology juncture.</w:t>
      </w:r>
    </w:p>
    <w:p>
      <w:pPr>
        <w:pStyle w:val="ListBullet"/>
        <w:ind w:left="360" w:hanging="360"/>
      </w:pPr>
      <w:r>
        <w:rPr>
          <w:rFonts w:ascii="Calibri" w:hAnsi="Calibri"/>
          <w:b/>
          <w:color w:val="525866"/>
          <w:sz w:val="22"/>
        </w:rPr>
        <w:t>Risk 1 — Transactional Revenue Recovery Pace:</w:t>
      </w:r>
      <w:r>
        <w:rPr>
          <w:rFonts w:ascii="Calibri" w:hAnsi="Calibri"/>
          <w:color w:val="525866"/>
          <w:sz w:val="22"/>
        </w:rPr>
        <w:t xml:space="preserve"> Q1 2026 transactional OCC growth was -6.1%, and consensus expects ~-3.6% in Q2. If weather activity in Q2 2026 was insufficient to drive a meaningful recovery in Property &amp; Restoration Solutions volumes, the revenue miss risk is concentrated here. Peer data (PGR, TRV, CB, HIG) suggests more normalized cat activity, but the magnitude of the VRSK-specific benefit is uncertain.</w:t>
      </w:r>
    </w:p>
    <w:p>
      <w:pPr>
        <w:pStyle w:val="ListBullet"/>
        <w:ind w:left="360" w:hanging="360"/>
      </w:pPr>
      <w:r>
        <w:rPr>
          <w:rFonts w:ascii="Calibri" w:hAnsi="Calibri"/>
          <w:b/>
          <w:color w:val="525866"/>
          <w:sz w:val="22"/>
        </w:rPr>
        <w:t>Risk 2 — AI Monetization Timeline:</w:t>
      </w:r>
      <w:r>
        <w:rPr>
          <w:rFonts w:ascii="Calibri" w:hAnsi="Calibri"/>
          <w:color w:val="525866"/>
          <w:sz w:val="22"/>
        </w:rPr>
        <w:t xml:space="preserve"> MCP connectors are currently on a free trial basis. The timeline to paid monetization is unclear, and extended AI contract sales cycles (flagged by both VRSK and SPGI/MCO peers) could delay revenue recognition. Investors will want specifics on trial uptake, conversion rates, and pricing plans.</w:t>
      </w:r>
    </w:p>
    <w:p>
      <w:pPr>
        <w:pStyle w:val="ListBullet"/>
        <w:ind w:left="360" w:hanging="360"/>
      </w:pPr>
      <w:r>
        <w:rPr>
          <w:rFonts w:ascii="Calibri" w:hAnsi="Calibri"/>
          <w:b/>
          <w:color w:val="525866"/>
          <w:sz w:val="22"/>
        </w:rPr>
        <w:t>Risk 3 — CIO Transition Execution Risk:</w:t>
      </w:r>
      <w:r>
        <w:rPr>
          <w:rFonts w:ascii="Calibri" w:hAnsi="Calibri"/>
          <w:color w:val="525866"/>
          <w:sz w:val="22"/>
        </w:rPr>
        <w:t xml:space="preserve"> Nick Daffan's departure (effective August 3, 2026) removes a 20+ year technology leader at a critical AI execution juncture. While CTO Jeff Negrete assumes the interim CIO role, the search for a permanent CIO and any disruption to AI product roadmap execution (Synergy Studio, MCP connectors, agentic AI platform) are key risks.</w:t>
      </w:r>
    </w:p>
    <w:p>
      <w:pPr>
        <w:pStyle w:val="ListBullet"/>
        <w:ind w:left="360" w:hanging="360"/>
      </w:pPr>
      <w:r>
        <w:rPr>
          <w:rFonts w:ascii="Calibri" w:hAnsi="Calibri"/>
          <w:b/>
          <w:color w:val="525866"/>
          <w:sz w:val="22"/>
        </w:rPr>
        <w:t>Risk 4 — Soft Market Pricing Headwind:</w:t>
      </w:r>
      <w:r>
        <w:rPr>
          <w:rFonts w:ascii="Calibri" w:hAnsi="Calibri"/>
          <w:color w:val="525866"/>
          <w:sz w:val="22"/>
        </w:rPr>
        <w:t xml:space="preserve"> Soft market conditions spreading to casualty (per CB and HIG) and continued personal auto pricing declines could moderate the net written premium growth that feeds VRSK's formula-based pricing contracts with a 2-year lag. Management has emphasized value-based pricing independence from market cycles, but the headwind is real.</w:t>
      </w:r>
    </w:p>
    <w:p>
      <w:pPr>
        <w:pStyle w:val="ListBullet"/>
        <w:ind w:left="360" w:hanging="360"/>
      </w:pPr>
      <w:r>
        <w:rPr>
          <w:rFonts w:ascii="Calibri" w:hAnsi="Calibri"/>
          <w:b/>
          <w:color w:val="525866"/>
          <w:sz w:val="22"/>
        </w:rPr>
        <w:t>Risk 5 — ASR Settlement Price:</w:t>
      </w:r>
      <w:r>
        <w:rPr>
          <w:rFonts w:ascii="Calibri" w:hAnsi="Calibri"/>
          <w:color w:val="525866"/>
          <w:sz w:val="22"/>
        </w:rPr>
        <w:t xml:space="preserve"> The $1.5B ASR initiated in Q1 was expected to run at least through Q2. The final settlement price will determine the total shares retired and the EPS impact. If the settlement price is above the initial $182.50 delivery price, fewer shares will be retired than initially estimated.</w:t>
      </w:r>
    </w:p>
    <w:p>
      <w:pPr>
        <w:pStyle w:val="ListBullet"/>
        <w:ind w:left="360" w:hanging="360"/>
      </w:pPr>
      <w:r>
        <w:rPr>
          <w:rFonts w:ascii="Calibri" w:hAnsi="Calibri"/>
          <w:b/>
          <w:color w:val="525866"/>
          <w:sz w:val="22"/>
        </w:rPr>
        <w:t>Risk 6 — Federal Government Contract:</w:t>
      </w:r>
      <w:r>
        <w:rPr>
          <w:rFonts w:ascii="Calibri" w:hAnsi="Calibri"/>
          <w:color w:val="525866"/>
          <w:sz w:val="22"/>
        </w:rPr>
        <w:t xml:space="preserve"> The work stoppage in a federal government contract was cited as a Q1 headwind. Investors will want confirmation that this has been resolved and is no longer a drag in Q2.</w:t>
      </w:r>
    </w:p>
    <w:p>
      <w:pPr>
        <w:pStyle w:val="Heading3"/>
      </w:pPr>
      <w:r>
        <w:rPr>
          <w:rFonts w:ascii="Calibri" w:hAnsi="Calibri"/>
          <w:b/>
          <w:color w:val="3B4259"/>
          <w:sz w:val="24"/>
        </w:rPr>
        <w:t>Key Questions for Management on the Q2 2026 Earnings Call</w:t>
      </w:r>
    </w:p>
    <w:p>
      <w:pPr>
        <w:pStyle w:val="ListNumber"/>
        <w:ind w:left="360" w:hanging="360"/>
      </w:pPr>
      <w:r>
        <w:rPr>
          <w:rFonts w:ascii="Calibri" w:hAnsi="Calibri"/>
          <w:b/>
          <w:color w:val="525866"/>
          <w:sz w:val="22"/>
        </w:rPr>
        <w:t>Transactional Revenue Recovery:</w:t>
      </w:r>
      <w:r>
        <w:rPr>
          <w:rFonts w:ascii="Calibri" w:hAnsi="Calibri"/>
          <w:color w:val="525866"/>
          <w:sz w:val="22"/>
        </w:rPr>
        <w:t xml:space="preserve"> How much did weather normalization in Q2 2026 contribute to transactional revenue? Is the -3.6% consensus estimate for transactional OCC growth achievable, or did weather remain below historical norms?</w:t>
      </w:r>
    </w:p>
    <w:p>
      <w:pPr>
        <w:pStyle w:val="ListNumber"/>
        <w:ind w:left="360" w:hanging="360"/>
      </w:pPr>
      <w:r>
        <w:rPr>
          <w:rFonts w:ascii="Calibri" w:hAnsi="Calibri"/>
          <w:b/>
          <w:color w:val="525866"/>
          <w:sz w:val="22"/>
        </w:rPr>
        <w:t>OCC Growth Trajectory:</w:t>
      </w:r>
      <w:r>
        <w:rPr>
          <w:rFonts w:ascii="Calibri" w:hAnsi="Calibri"/>
          <w:color w:val="525866"/>
          <w:sz w:val="22"/>
        </w:rPr>
        <w:t xml:space="preserve"> Did Q2 OCC growth fall below the 6–8% long-term target range as guided, and what is the specific expectation for Q3 and Q4 to achieve the full-year ~6.1% consensus?</w:t>
      </w:r>
    </w:p>
    <w:p>
      <w:pPr>
        <w:pStyle w:val="ListNumber"/>
        <w:ind w:left="360" w:hanging="360"/>
      </w:pPr>
      <w:r>
        <w:rPr>
          <w:rFonts w:ascii="Calibri" w:hAnsi="Calibri"/>
          <w:b/>
          <w:color w:val="525866"/>
          <w:sz w:val="22"/>
        </w:rPr>
        <w:t>MCP Connector Update:</w:t>
      </w:r>
      <w:r>
        <w:rPr>
          <w:rFonts w:ascii="Calibri" w:hAnsi="Calibri"/>
          <w:color w:val="525866"/>
          <w:sz w:val="22"/>
        </w:rPr>
        <w:t xml:space="preserve"> How many trials have been initiated for the Anthropic MCP connectors? What is the timeline to paid monetization, and are there additional connector launches planned?</w:t>
      </w:r>
    </w:p>
    <w:p>
      <w:pPr>
        <w:pStyle w:val="ListNumber"/>
        <w:ind w:left="360" w:hanging="360"/>
      </w:pPr>
      <w:r>
        <w:rPr>
          <w:rFonts w:ascii="Calibri" w:hAnsi="Calibri"/>
          <w:b/>
          <w:color w:val="525866"/>
          <w:sz w:val="22"/>
        </w:rPr>
        <w:t>Synergy Studio Launch:</w:t>
      </w:r>
      <w:r>
        <w:rPr>
          <w:rFonts w:ascii="Calibri" w:hAnsi="Calibri"/>
          <w:color w:val="525866"/>
          <w:sz w:val="22"/>
        </w:rPr>
        <w:t xml:space="preserve"> Has Synergy Studio launched in production as planned in June 2026? What is the initial client uptake, and how does the open ecosystem model differentiate VRSK from MCO's Intelligent Risk Platform?</w:t>
      </w:r>
    </w:p>
    <w:p>
      <w:pPr>
        <w:pStyle w:val="ListNumber"/>
        <w:ind w:left="360" w:hanging="360"/>
      </w:pPr>
      <w:r>
        <w:rPr>
          <w:rFonts w:ascii="Calibri" w:hAnsi="Calibri"/>
          <w:b/>
          <w:color w:val="525866"/>
          <w:sz w:val="22"/>
        </w:rPr>
        <w:t>ASR Settlement:</w:t>
      </w:r>
      <w:r>
        <w:rPr>
          <w:rFonts w:ascii="Calibri" w:hAnsi="Calibri"/>
          <w:color w:val="525866"/>
          <w:sz w:val="22"/>
        </w:rPr>
        <w:t xml:space="preserve"> What is the final settlement price and total shares retired under the $1.5B ASR? What is the remaining share repurchase authorization?</w:t>
      </w:r>
    </w:p>
    <w:p>
      <w:pPr>
        <w:pStyle w:val="ListNumber"/>
        <w:ind w:left="360" w:hanging="360"/>
      </w:pPr>
      <w:r>
        <w:rPr>
          <w:rFonts w:ascii="Calibri" w:hAnsi="Calibri"/>
          <w:b/>
          <w:color w:val="525866"/>
          <w:sz w:val="22"/>
        </w:rPr>
        <w:t>CIO Transition:</w:t>
      </w:r>
      <w:r>
        <w:rPr>
          <w:rFonts w:ascii="Calibri" w:hAnsi="Calibri"/>
          <w:color w:val="525866"/>
          <w:sz w:val="22"/>
        </w:rPr>
        <w:t xml:space="preserve"> What is the timeline for finding a permanent CIO? How does the transition affect the AI product roadmap, and what is Jeff Negrete's mandate as interim CIO?</w:t>
      </w:r>
    </w:p>
    <w:p>
      <w:pPr>
        <w:pStyle w:val="ListNumber"/>
        <w:ind w:left="360" w:hanging="360"/>
      </w:pPr>
      <w:r>
        <w:rPr>
          <w:rFonts w:ascii="Calibri" w:hAnsi="Calibri"/>
          <w:b/>
          <w:color w:val="525866"/>
          <w:sz w:val="22"/>
        </w:rPr>
        <w:t>Federal Government Contract:</w:t>
      </w:r>
      <w:r>
        <w:rPr>
          <w:rFonts w:ascii="Calibri" w:hAnsi="Calibri"/>
          <w:color w:val="525866"/>
          <w:sz w:val="22"/>
        </w:rPr>
        <w:t xml:space="preserve"> Has the work stoppage in the federal government contract been fully resolved? What is the expected contribution from this contract in H2 2026?</w:t>
      </w:r>
    </w:p>
    <w:p>
      <w:pPr>
        <w:pStyle w:val="ListNumber"/>
        <w:ind w:left="360" w:hanging="360"/>
      </w:pPr>
      <w:r>
        <w:rPr>
          <w:rFonts w:ascii="Calibri" w:hAnsi="Calibri"/>
          <w:b/>
          <w:color w:val="525866"/>
          <w:sz w:val="22"/>
        </w:rPr>
        <w:t>AI Sales Cycle Elongation:</w:t>
      </w:r>
      <w:r>
        <w:rPr>
          <w:rFonts w:ascii="Calibri" w:hAnsi="Calibri"/>
          <w:color w:val="525866"/>
          <w:sz w:val="22"/>
        </w:rPr>
        <w:t xml:space="preserve"> How are AI governance and compliance negotiations progressing with large clients? Are extended sales cycles improving, stable, or worsening relative to Q1?</w:t>
      </w:r>
    </w:p>
    <w:p>
      <w:r>
        <w:br w:type="page"/>
      </w:r>
    </w:p>
    <w:p>
      <w:pPr>
        <w:pStyle w:val="Heading2"/>
      </w:pPr>
      <w:r>
        <w:rPr>
          <w:rFonts w:ascii="Calibri" w:hAnsi="Calibri"/>
          <w:b/>
          <w:color w:val="3B4259"/>
          <w:sz w:val="28"/>
        </w:rPr>
        <w:t>Appendix: Valuation Context</w:t>
      </w:r>
    </w:p>
    <w:p>
      <w:r>
        <w:rPr>
          <w:rFonts w:ascii="Calibri" w:hAnsi="Calibri"/>
          <w:b/>
          <w:color w:val="525866"/>
          <w:sz w:val="22"/>
        </w:rPr>
        <w:t>NTM Valuation Multiples (as of July 28,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Current (Jul 28, 2026)</w:t>
            </w:r>
          </w:p>
        </w:tc>
        <w:tc>
          <w:tcPr>
            <w:tcW w:type="dxa" w:w="1728"/>
            <w:shd w:val="clear" w:color="auto" w:fill="3B4259"/>
          </w:tcPr>
          <w:p>
            <w:r>
              <w:rPr>
                <w:rFonts w:ascii="Calibri" w:hAnsi="Calibri"/>
                <w:b/>
                <w:color w:val="FFFFFF"/>
                <w:sz w:val="22"/>
              </w:rPr>
              <w:t>3 Months Ago</w:t>
            </w:r>
          </w:p>
        </w:tc>
        <w:tc>
          <w:tcPr>
            <w:tcW w:type="dxa" w:w="1728"/>
            <w:shd w:val="clear" w:color="auto" w:fill="3B4259"/>
          </w:tcPr>
          <w:p>
            <w:r>
              <w:rPr>
                <w:rFonts w:ascii="Calibri" w:hAnsi="Calibri"/>
                <w:b/>
                <w:color w:val="FFFFFF"/>
                <w:sz w:val="22"/>
              </w:rPr>
              <w:t>6 Months Ago</w:t>
            </w:r>
          </w:p>
        </w:tc>
        <w:tc>
          <w:tcPr>
            <w:tcW w:type="dxa" w:w="1728"/>
            <w:shd w:val="clear" w:color="auto" w:fill="3B4259"/>
          </w:tcPr>
          <w:p>
            <w:r>
              <w:rPr>
                <w:rFonts w:ascii="Calibri" w:hAnsi="Calibri"/>
                <w:b/>
                <w:color w:val="FFFFFF"/>
                <w:sz w:val="22"/>
              </w:rPr>
              <w:t>12 Months Ago</w:t>
            </w:r>
          </w:p>
        </w:tc>
      </w:tr>
      <w:tr>
        <w:tc>
          <w:tcPr>
            <w:tcW w:type="dxa" w:w="1728"/>
          </w:tcPr>
          <w:p>
            <w:r>
              <w:rPr>
                <w:rFonts w:ascii="Calibri" w:hAnsi="Calibri"/>
                <w:sz w:val="22"/>
              </w:rPr>
              <w:t>NTM EV/EBITDA</w:t>
            </w:r>
          </w:p>
        </w:tc>
        <w:tc>
          <w:tcPr>
            <w:tcW w:type="dxa" w:w="1728"/>
          </w:tcPr>
          <w:p>
            <w:r>
              <w:rPr>
                <w:rFonts w:ascii="Calibri" w:hAnsi="Calibri"/>
                <w:sz w:val="22"/>
              </w:rPr>
              <w:t>16.36x</w:t>
            </w:r>
          </w:p>
        </w:tc>
        <w:tc>
          <w:tcPr>
            <w:tcW w:type="dxa" w:w="1728"/>
          </w:tcPr>
          <w:p>
            <w:r>
              <w:rPr>
                <w:rFonts w:ascii="Calibri" w:hAnsi="Calibri"/>
                <w:sz w:val="22"/>
              </w:rPr>
              <w:t>13.96x</w:t>
            </w:r>
          </w:p>
        </w:tc>
        <w:tc>
          <w:tcPr>
            <w:tcW w:type="dxa" w:w="1728"/>
          </w:tcPr>
          <w:p>
            <w:r>
              <w:rPr>
                <w:rFonts w:ascii="Calibri" w:hAnsi="Calibri"/>
                <w:sz w:val="22"/>
              </w:rPr>
              <w:t>17.86x</w:t>
            </w:r>
          </w:p>
        </w:tc>
        <w:tc>
          <w:tcPr>
            <w:tcW w:type="dxa" w:w="1728"/>
          </w:tcPr>
          <w:p>
            <w:r>
              <w:rPr>
                <w:rFonts w:ascii="Calibri" w:hAnsi="Calibri"/>
                <w:sz w:val="22"/>
              </w:rPr>
              <w:t>24.70x</w:t>
            </w:r>
          </w:p>
        </w:tc>
      </w:tr>
      <w:tr>
        <w:tc>
          <w:tcPr>
            <w:tcW w:type="dxa" w:w="1728"/>
          </w:tcPr>
          <w:p>
            <w:r>
              <w:rPr>
                <w:rFonts w:ascii="Calibri" w:hAnsi="Calibri"/>
                <w:sz w:val="22"/>
              </w:rPr>
              <w:t>NTM EV/Sales</w:t>
            </w:r>
          </w:p>
        </w:tc>
        <w:tc>
          <w:tcPr>
            <w:tcW w:type="dxa" w:w="1728"/>
          </w:tcPr>
          <w:p>
            <w:r>
              <w:rPr>
                <w:rFonts w:ascii="Calibri" w:hAnsi="Calibri"/>
                <w:sz w:val="22"/>
              </w:rPr>
              <w:t>9.27x</w:t>
            </w:r>
          </w:p>
        </w:tc>
        <w:tc>
          <w:tcPr>
            <w:tcW w:type="dxa" w:w="1728"/>
          </w:tcPr>
          <w:p>
            <w:r>
              <w:rPr>
                <w:rFonts w:ascii="Calibri" w:hAnsi="Calibri"/>
                <w:sz w:val="22"/>
              </w:rPr>
              <w:t>7.88x</w:t>
            </w:r>
          </w:p>
        </w:tc>
        <w:tc>
          <w:tcPr>
            <w:tcW w:type="dxa" w:w="1728"/>
          </w:tcPr>
          <w:p>
            <w:r>
              <w:rPr>
                <w:rFonts w:ascii="Calibri" w:hAnsi="Calibri"/>
                <w:sz w:val="22"/>
              </w:rPr>
              <w:t>10.07x</w:t>
            </w:r>
          </w:p>
        </w:tc>
        <w:tc>
          <w:tcPr>
            <w:tcW w:type="dxa" w:w="1728"/>
          </w:tcPr>
          <w:p>
            <w:r>
              <w:rPr>
                <w:rFonts w:ascii="Calibri" w:hAnsi="Calibri"/>
                <w:sz w:val="22"/>
              </w:rPr>
              <w:t>13.76x</w:t>
            </w:r>
          </w:p>
        </w:tc>
      </w:tr>
      <w:tr>
        <w:tc>
          <w:tcPr>
            <w:tcW w:type="dxa" w:w="1728"/>
          </w:tcPr>
          <w:p>
            <w:r>
              <w:rPr>
                <w:rFonts w:ascii="Calibri" w:hAnsi="Calibri"/>
                <w:sz w:val="22"/>
              </w:rPr>
              <w:t>NTM P/E</w:t>
            </w:r>
          </w:p>
        </w:tc>
        <w:tc>
          <w:tcPr>
            <w:tcW w:type="dxa" w:w="1728"/>
          </w:tcPr>
          <w:p>
            <w:r>
              <w:rPr>
                <w:rFonts w:ascii="Calibri" w:hAnsi="Calibri"/>
                <w:sz w:val="22"/>
              </w:rPr>
              <w:t>26.17x</w:t>
            </w:r>
          </w:p>
        </w:tc>
        <w:tc>
          <w:tcPr>
            <w:tcW w:type="dxa" w:w="1728"/>
          </w:tcPr>
          <w:p>
            <w:r>
              <w:rPr>
                <w:rFonts w:ascii="Calibri" w:hAnsi="Calibri"/>
                <w:sz w:val="22"/>
              </w:rPr>
              <w:t>23.52x</w:t>
            </w:r>
          </w:p>
        </w:tc>
        <w:tc>
          <w:tcPr>
            <w:tcW w:type="dxa" w:w="1728"/>
          </w:tcPr>
          <w:p>
            <w:r>
              <w:rPr>
                <w:rFonts w:ascii="Calibri" w:hAnsi="Calibri"/>
                <w:sz w:val="22"/>
              </w:rPr>
              <w:t>29.76x</w:t>
            </w:r>
          </w:p>
        </w:tc>
        <w:tc>
          <w:tcPr>
            <w:tcW w:type="dxa" w:w="1728"/>
          </w:tcPr>
          <w:p>
            <w:r>
              <w:rPr>
                <w:rFonts w:ascii="Calibri" w:hAnsi="Calibri"/>
                <w:sz w:val="22"/>
              </w:rPr>
              <w:t>41.42x</w:t>
            </w:r>
          </w:p>
        </w:tc>
      </w:tr>
      <w:tr>
        <w:tc>
          <w:tcPr>
            <w:tcW w:type="dxa" w:w="1728"/>
          </w:tcPr>
          <w:p>
            <w:r>
              <w:rPr>
                <w:rFonts w:ascii="Calibri" w:hAnsi="Calibri"/>
                <w:sz w:val="22"/>
              </w:rPr>
              <w:t>NTM P/FCF</w:t>
            </w:r>
          </w:p>
        </w:tc>
        <w:tc>
          <w:tcPr>
            <w:tcW w:type="dxa" w:w="1728"/>
          </w:tcPr>
          <w:p>
            <w:r>
              <w:rPr>
                <w:rFonts w:ascii="Calibri" w:hAnsi="Calibri"/>
                <w:sz w:val="22"/>
              </w:rPr>
              <w:t>23.05x</w:t>
            </w:r>
          </w:p>
        </w:tc>
        <w:tc>
          <w:tcPr>
            <w:tcW w:type="dxa" w:w="1728"/>
          </w:tcPr>
          <w:p>
            <w:r>
              <w:rPr>
                <w:rFonts w:ascii="Calibri" w:hAnsi="Calibri"/>
                <w:sz w:val="22"/>
              </w:rPr>
              <w:t>20.75x</w:t>
            </w:r>
          </w:p>
        </w:tc>
        <w:tc>
          <w:tcPr>
            <w:tcW w:type="dxa" w:w="1728"/>
          </w:tcPr>
          <w:p>
            <w:r>
              <w:rPr>
                <w:rFonts w:ascii="Calibri" w:hAnsi="Calibri"/>
                <w:sz w:val="22"/>
              </w:rPr>
              <w:t>26.27x</w:t>
            </w:r>
          </w:p>
        </w:tc>
        <w:tc>
          <w:tcPr>
            <w:tcW w:type="dxa" w:w="1728"/>
          </w:tcPr>
          <w:p>
            <w:r>
              <w:rPr>
                <w:rFonts w:ascii="Calibri" w:hAnsi="Calibri"/>
                <w:sz w:val="22"/>
              </w:rPr>
              <w:t>36.88x</w:t>
            </w:r>
          </w:p>
        </w:tc>
      </w:tr>
      <w:tr>
        <w:tc>
          <w:tcPr>
            <w:tcW w:type="dxa" w:w="1728"/>
          </w:tcPr>
          <w:p>
            <w:r>
              <w:rPr>
                <w:rFonts w:ascii="Calibri" w:hAnsi="Calibri"/>
                <w:sz w:val="22"/>
              </w:rPr>
              <w:t>Stock Price</w:t>
            </w:r>
          </w:p>
        </w:tc>
        <w:tc>
          <w:tcPr>
            <w:tcW w:type="dxa" w:w="1728"/>
          </w:tcPr>
          <w:p>
            <w:r>
              <w:rPr>
                <w:rFonts w:ascii="Calibri" w:hAnsi="Calibri"/>
                <w:sz w:val="22"/>
              </w:rPr>
              <w:t>$212.26</w:t>
            </w:r>
          </w:p>
        </w:tc>
        <w:tc>
          <w:tcPr>
            <w:tcW w:type="dxa" w:w="1728"/>
          </w:tcPr>
          <w:p>
            <w:r>
              <w:rPr>
                <w:rFonts w:ascii="Calibri" w:hAnsi="Calibri"/>
                <w:sz w:val="22"/>
              </w:rPr>
              <w:t>~$174.99 (Apr 29 +3M)</w:t>
            </w:r>
          </w:p>
        </w:tc>
        <w:tc>
          <w:tcPr>
            <w:tcW w:type="dxa" w:w="1728"/>
          </w:tcPr>
          <w:p>
            <w:r>
              <w:rPr>
                <w:rFonts w:ascii="Calibri" w:hAnsi="Calibri"/>
                <w:sz w:val="22"/>
              </w:rPr>
              <w:t>~$219.60 (Jan 28)</w:t>
            </w:r>
          </w:p>
        </w:tc>
        <w:tc>
          <w:tcPr>
            <w:tcW w:type="dxa" w:w="1728"/>
          </w:tcPr>
          <w:p>
            <w:r>
              <w:rPr>
                <w:rFonts w:ascii="Calibri" w:hAnsi="Calibri"/>
                <w:sz w:val="22"/>
              </w:rPr>
              <w:t>~$298.00 (Jul 28, 2025)</w:t>
            </w:r>
          </w:p>
        </w:tc>
      </w:tr>
    </w:tbl>
    <w:p>
      <w:r>
        <w:rPr>
          <w:rFonts w:ascii="Calibri" w:hAnsi="Calibri"/>
          <w:color w:val="525866"/>
          <w:sz w:val="22"/>
        </w:rPr>
        <w:t>The stock is down ~28.8% over the trailing 12 months, with the decline almost entirely driven by multiple compression (NTM EV/EBITDA from 24.7x to 16.4x, a -33.8% contraction). Over the past 3 months, the stock has recovered +21.4%, with multiple expansion accounting for +17.2% of the move. At 16.4x NTM EV/EBITDA, VRSK trades at a meaningful discount to its 5-year historical average but at a premium to generic business services peers, reflecting the subscription model quality and data moat. The trough narrative is well-understood; a Q2 beat and H2 acceleration guidance would likely drive further multiple re-expansion toward the 18–20x range.</w:t>
      </w:r>
    </w:p>
    <w:p>
      <w:r>
        <w:rPr>
          <w:rFonts w:ascii="Calibri" w:hAnsi="Calibri"/>
          <w:i/>
          <w:color w:val="525866"/>
          <w:sz w:val="22"/>
        </w:rPr>
        <w:t>Source: Stock Performance Decomposition Data; Stock Price Data (Yahoo Finance).</w:t>
      </w:r>
    </w:p>
    <w:p>
      <w:r>
        <w:rPr>
          <w:rFonts w:ascii="Calibri" w:hAnsi="Calibri"/>
          <w:b/>
          <w:color w:val="525866"/>
          <w:sz w:val="22"/>
        </w:rPr>
        <w:t>Adj. EPS Revision Momentum (Q2 2026 Consensus, Monthly Snapshots):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Month-End</w:t>
            </w:r>
          </w:p>
        </w:tc>
        <w:tc>
          <w:tcPr>
            <w:tcW w:type="dxa" w:w="2880"/>
            <w:shd w:val="clear" w:color="auto" w:fill="3B4259"/>
          </w:tcPr>
          <w:p>
            <w:r>
              <w:rPr>
                <w:rFonts w:ascii="Calibri" w:hAnsi="Calibri"/>
                <w:b/>
                <w:color w:val="FFFFFF"/>
                <w:sz w:val="22"/>
              </w:rPr>
              <w:t>Q2 2026 Adj. EPS Consensus</w:t>
            </w:r>
          </w:p>
        </w:tc>
        <w:tc>
          <w:tcPr>
            <w:tcW w:type="dxa" w:w="2880"/>
            <w:shd w:val="clear" w:color="auto" w:fill="3B4259"/>
          </w:tcPr>
          <w:p>
            <w:r>
              <w:rPr>
                <w:rFonts w:ascii="Calibri" w:hAnsi="Calibri"/>
                <w:b/>
                <w:color w:val="FFFFFF"/>
                <w:sz w:val="22"/>
              </w:rPr>
              <w:t>VRSK Stock Price</w:t>
            </w:r>
          </w:p>
        </w:tc>
      </w:tr>
      <w:tr>
        <w:tc>
          <w:tcPr>
            <w:tcW w:type="dxa" w:w="2880"/>
          </w:tcPr>
          <w:p>
            <w:r>
              <w:rPr>
                <w:rFonts w:ascii="Calibri" w:hAnsi="Calibri"/>
                <w:sz w:val="22"/>
              </w:rPr>
              <w:t>Aug 2025</w:t>
            </w:r>
          </w:p>
        </w:tc>
        <w:tc>
          <w:tcPr>
            <w:tcW w:type="dxa" w:w="2880"/>
          </w:tcPr>
          <w:p>
            <w:r>
              <w:rPr>
                <w:rFonts w:ascii="Calibri" w:hAnsi="Calibri"/>
                <w:sz w:val="22"/>
              </w:rPr>
              <w:t>$1.901</w:t>
            </w:r>
          </w:p>
        </w:tc>
        <w:tc>
          <w:tcPr>
            <w:tcW w:type="dxa" w:w="2880"/>
          </w:tcPr>
          <w:p>
            <w:r>
              <w:rPr>
                <w:rFonts w:ascii="Calibri" w:hAnsi="Calibri"/>
                <w:sz w:val="22"/>
              </w:rPr>
              <w:t>$268.12</w:t>
            </w:r>
          </w:p>
        </w:tc>
      </w:tr>
      <w:tr>
        <w:tc>
          <w:tcPr>
            <w:tcW w:type="dxa" w:w="2880"/>
          </w:tcPr>
          <w:p>
            <w:r>
              <w:rPr>
                <w:rFonts w:ascii="Calibri" w:hAnsi="Calibri"/>
                <w:sz w:val="22"/>
              </w:rPr>
              <w:t>Sep 2025</w:t>
            </w:r>
          </w:p>
        </w:tc>
        <w:tc>
          <w:tcPr>
            <w:tcW w:type="dxa" w:w="2880"/>
          </w:tcPr>
          <w:p>
            <w:r>
              <w:rPr>
                <w:rFonts w:ascii="Calibri" w:hAnsi="Calibri"/>
                <w:sz w:val="22"/>
              </w:rPr>
              <w:t>$1.894</w:t>
            </w:r>
          </w:p>
        </w:tc>
        <w:tc>
          <w:tcPr>
            <w:tcW w:type="dxa" w:w="2880"/>
          </w:tcPr>
          <w:p>
            <w:r>
              <w:rPr>
                <w:rFonts w:ascii="Calibri" w:hAnsi="Calibri"/>
                <w:sz w:val="22"/>
              </w:rPr>
              <w:t>$251.51</w:t>
            </w:r>
          </w:p>
        </w:tc>
      </w:tr>
      <w:tr>
        <w:tc>
          <w:tcPr>
            <w:tcW w:type="dxa" w:w="2880"/>
          </w:tcPr>
          <w:p>
            <w:r>
              <w:rPr>
                <w:rFonts w:ascii="Calibri" w:hAnsi="Calibri"/>
                <w:sz w:val="22"/>
              </w:rPr>
              <w:t>Oct 2025</w:t>
            </w:r>
          </w:p>
        </w:tc>
        <w:tc>
          <w:tcPr>
            <w:tcW w:type="dxa" w:w="2880"/>
          </w:tcPr>
          <w:p>
            <w:r>
              <w:rPr>
                <w:rFonts w:ascii="Calibri" w:hAnsi="Calibri"/>
                <w:sz w:val="22"/>
              </w:rPr>
              <w:t>$1.864</w:t>
            </w:r>
          </w:p>
        </w:tc>
        <w:tc>
          <w:tcPr>
            <w:tcW w:type="dxa" w:w="2880"/>
          </w:tcPr>
          <w:p>
            <w:r>
              <w:rPr>
                <w:rFonts w:ascii="Calibri" w:hAnsi="Calibri"/>
                <w:sz w:val="22"/>
              </w:rPr>
              <w:t>$218.76</w:t>
            </w:r>
          </w:p>
        </w:tc>
      </w:tr>
      <w:tr>
        <w:tc>
          <w:tcPr>
            <w:tcW w:type="dxa" w:w="2880"/>
          </w:tcPr>
          <w:p>
            <w:r>
              <w:rPr>
                <w:rFonts w:ascii="Calibri" w:hAnsi="Calibri"/>
                <w:sz w:val="22"/>
              </w:rPr>
              <w:t>Nov 2025</w:t>
            </w:r>
          </w:p>
        </w:tc>
        <w:tc>
          <w:tcPr>
            <w:tcW w:type="dxa" w:w="2880"/>
          </w:tcPr>
          <w:p>
            <w:r>
              <w:rPr>
                <w:rFonts w:ascii="Calibri" w:hAnsi="Calibri"/>
                <w:sz w:val="22"/>
              </w:rPr>
              <w:t>$1.859</w:t>
            </w:r>
          </w:p>
        </w:tc>
        <w:tc>
          <w:tcPr>
            <w:tcW w:type="dxa" w:w="2880"/>
          </w:tcPr>
          <w:p>
            <w:r>
              <w:rPr>
                <w:rFonts w:ascii="Calibri" w:hAnsi="Calibri"/>
                <w:sz w:val="22"/>
              </w:rPr>
              <w:t>$225.07</w:t>
            </w:r>
          </w:p>
        </w:tc>
      </w:tr>
      <w:tr>
        <w:tc>
          <w:tcPr>
            <w:tcW w:type="dxa" w:w="2880"/>
          </w:tcPr>
          <w:p>
            <w:r>
              <w:rPr>
                <w:rFonts w:ascii="Calibri" w:hAnsi="Calibri"/>
                <w:sz w:val="22"/>
              </w:rPr>
              <w:t>Dec 2025</w:t>
            </w:r>
          </w:p>
        </w:tc>
        <w:tc>
          <w:tcPr>
            <w:tcW w:type="dxa" w:w="2880"/>
          </w:tcPr>
          <w:p>
            <w:r>
              <w:rPr>
                <w:rFonts w:ascii="Calibri" w:hAnsi="Calibri"/>
                <w:sz w:val="22"/>
              </w:rPr>
              <w:t>$1.859</w:t>
            </w:r>
          </w:p>
        </w:tc>
        <w:tc>
          <w:tcPr>
            <w:tcW w:type="dxa" w:w="2880"/>
          </w:tcPr>
          <w:p>
            <w:r>
              <w:rPr>
                <w:rFonts w:ascii="Calibri" w:hAnsi="Calibri"/>
                <w:sz w:val="22"/>
              </w:rPr>
              <w:t>$223.69</w:t>
            </w:r>
          </w:p>
        </w:tc>
      </w:tr>
      <w:tr>
        <w:tc>
          <w:tcPr>
            <w:tcW w:type="dxa" w:w="2880"/>
          </w:tcPr>
          <w:p>
            <w:r>
              <w:rPr>
                <w:rFonts w:ascii="Calibri" w:hAnsi="Calibri"/>
                <w:sz w:val="22"/>
              </w:rPr>
              <w:t>Jan 2026</w:t>
            </w:r>
          </w:p>
        </w:tc>
        <w:tc>
          <w:tcPr>
            <w:tcW w:type="dxa" w:w="2880"/>
          </w:tcPr>
          <w:p>
            <w:r>
              <w:rPr>
                <w:rFonts w:ascii="Calibri" w:hAnsi="Calibri"/>
                <w:sz w:val="22"/>
              </w:rPr>
              <w:t>$1.869</w:t>
            </w:r>
          </w:p>
        </w:tc>
        <w:tc>
          <w:tcPr>
            <w:tcW w:type="dxa" w:w="2880"/>
          </w:tcPr>
          <w:p>
            <w:r>
              <w:rPr>
                <w:rFonts w:ascii="Calibri" w:hAnsi="Calibri"/>
                <w:sz w:val="22"/>
              </w:rPr>
              <w:t>$217.46</w:t>
            </w:r>
          </w:p>
        </w:tc>
      </w:tr>
      <w:tr>
        <w:tc>
          <w:tcPr>
            <w:tcW w:type="dxa" w:w="2880"/>
          </w:tcPr>
          <w:p>
            <w:r>
              <w:rPr>
                <w:rFonts w:ascii="Calibri" w:hAnsi="Calibri"/>
                <w:sz w:val="22"/>
              </w:rPr>
              <w:t>Feb 2026</w:t>
            </w:r>
          </w:p>
        </w:tc>
        <w:tc>
          <w:tcPr>
            <w:tcW w:type="dxa" w:w="2880"/>
          </w:tcPr>
          <w:p>
            <w:r>
              <w:rPr>
                <w:rFonts w:ascii="Calibri" w:hAnsi="Calibri"/>
                <w:sz w:val="22"/>
              </w:rPr>
              <w:t>$1.843</w:t>
            </w:r>
          </w:p>
        </w:tc>
        <w:tc>
          <w:tcPr>
            <w:tcW w:type="dxa" w:w="2880"/>
          </w:tcPr>
          <w:p>
            <w:r>
              <w:rPr>
                <w:rFonts w:ascii="Calibri" w:hAnsi="Calibri"/>
                <w:sz w:val="22"/>
              </w:rPr>
              <w:t>$207.57</w:t>
            </w:r>
          </w:p>
        </w:tc>
      </w:tr>
      <w:tr>
        <w:tc>
          <w:tcPr>
            <w:tcW w:type="dxa" w:w="2880"/>
          </w:tcPr>
          <w:p>
            <w:r>
              <w:rPr>
                <w:rFonts w:ascii="Calibri" w:hAnsi="Calibri"/>
                <w:sz w:val="22"/>
              </w:rPr>
              <w:t>Mar 2026</w:t>
            </w:r>
          </w:p>
        </w:tc>
        <w:tc>
          <w:tcPr>
            <w:tcW w:type="dxa" w:w="2880"/>
          </w:tcPr>
          <w:p>
            <w:r>
              <w:rPr>
                <w:rFonts w:ascii="Calibri" w:hAnsi="Calibri"/>
                <w:sz w:val="22"/>
              </w:rPr>
              <w:t>$1.846</w:t>
            </w:r>
          </w:p>
        </w:tc>
        <w:tc>
          <w:tcPr>
            <w:tcW w:type="dxa" w:w="2880"/>
          </w:tcPr>
          <w:p>
            <w:r>
              <w:rPr>
                <w:rFonts w:ascii="Calibri" w:hAnsi="Calibri"/>
                <w:sz w:val="22"/>
              </w:rPr>
              <w:t>$189.75</w:t>
            </w:r>
          </w:p>
        </w:tc>
      </w:tr>
      <w:tr>
        <w:tc>
          <w:tcPr>
            <w:tcW w:type="dxa" w:w="2880"/>
          </w:tcPr>
          <w:p>
            <w:r>
              <w:rPr>
                <w:rFonts w:ascii="Calibri" w:hAnsi="Calibri"/>
                <w:sz w:val="22"/>
              </w:rPr>
              <w:t>Apr 2026</w:t>
            </w:r>
          </w:p>
        </w:tc>
        <w:tc>
          <w:tcPr>
            <w:tcW w:type="dxa" w:w="2880"/>
          </w:tcPr>
          <w:p>
            <w:r>
              <w:rPr>
                <w:rFonts w:ascii="Calibri" w:hAnsi="Calibri"/>
                <w:sz w:val="22"/>
              </w:rPr>
              <w:t>$1.848</w:t>
            </w:r>
          </w:p>
        </w:tc>
        <w:tc>
          <w:tcPr>
            <w:tcW w:type="dxa" w:w="2880"/>
          </w:tcPr>
          <w:p>
            <w:r>
              <w:rPr>
                <w:rFonts w:ascii="Calibri" w:hAnsi="Calibri"/>
                <w:sz w:val="22"/>
              </w:rPr>
              <w:t>$184.49</w:t>
            </w:r>
          </w:p>
        </w:tc>
      </w:tr>
      <w:tr>
        <w:tc>
          <w:tcPr>
            <w:tcW w:type="dxa" w:w="2880"/>
          </w:tcPr>
          <w:p>
            <w:r>
              <w:rPr>
                <w:rFonts w:ascii="Calibri" w:hAnsi="Calibri"/>
                <w:sz w:val="22"/>
              </w:rPr>
              <w:t>May 2026</w:t>
            </w:r>
          </w:p>
        </w:tc>
        <w:tc>
          <w:tcPr>
            <w:tcW w:type="dxa" w:w="2880"/>
          </w:tcPr>
          <w:p>
            <w:r>
              <w:rPr>
                <w:rFonts w:ascii="Calibri" w:hAnsi="Calibri"/>
                <w:sz w:val="22"/>
              </w:rPr>
              <w:t>$1.829</w:t>
            </w:r>
          </w:p>
        </w:tc>
        <w:tc>
          <w:tcPr>
            <w:tcW w:type="dxa" w:w="2880"/>
          </w:tcPr>
          <w:p>
            <w:r>
              <w:rPr>
                <w:rFonts w:ascii="Calibri" w:hAnsi="Calibri"/>
                <w:sz w:val="22"/>
              </w:rPr>
              <w:t>$174.99</w:t>
            </w:r>
          </w:p>
        </w:tc>
      </w:tr>
      <w:tr>
        <w:tc>
          <w:tcPr>
            <w:tcW w:type="dxa" w:w="2880"/>
          </w:tcPr>
          <w:p>
            <w:r>
              <w:rPr>
                <w:rFonts w:ascii="Calibri" w:hAnsi="Calibri"/>
                <w:sz w:val="22"/>
              </w:rPr>
              <w:t>Jun 2026</w:t>
            </w:r>
          </w:p>
        </w:tc>
        <w:tc>
          <w:tcPr>
            <w:tcW w:type="dxa" w:w="2880"/>
          </w:tcPr>
          <w:p>
            <w:r>
              <w:rPr>
                <w:rFonts w:ascii="Calibri" w:hAnsi="Calibri"/>
                <w:sz w:val="22"/>
              </w:rPr>
              <w:t>$1.838</w:t>
            </w:r>
          </w:p>
        </w:tc>
        <w:tc>
          <w:tcPr>
            <w:tcW w:type="dxa" w:w="2880"/>
          </w:tcPr>
          <w:p>
            <w:r>
              <w:rPr>
                <w:rFonts w:ascii="Calibri" w:hAnsi="Calibri"/>
                <w:sz w:val="22"/>
              </w:rPr>
              <w:t>$179.53</w:t>
            </w:r>
          </w:p>
        </w:tc>
      </w:tr>
      <w:tr>
        <w:tc>
          <w:tcPr>
            <w:tcW w:type="dxa" w:w="2880"/>
          </w:tcPr>
          <w:p>
            <w:r>
              <w:rPr>
                <w:rFonts w:ascii="Calibri" w:hAnsi="Calibri"/>
                <w:sz w:val="22"/>
              </w:rPr>
              <w:t>Jul 2026 (latest)</w:t>
            </w:r>
          </w:p>
        </w:tc>
        <w:tc>
          <w:tcPr>
            <w:tcW w:type="dxa" w:w="2880"/>
          </w:tcPr>
          <w:p>
            <w:r>
              <w:rPr>
                <w:rFonts w:ascii="Calibri" w:hAnsi="Calibri"/>
                <w:sz w:val="22"/>
              </w:rPr>
              <w:t>$1.841</w:t>
            </w:r>
          </w:p>
        </w:tc>
        <w:tc>
          <w:tcPr>
            <w:tcW w:type="dxa" w:w="2880"/>
          </w:tcPr>
          <w:p>
            <w:r>
              <w:rPr>
                <w:rFonts w:ascii="Calibri" w:hAnsi="Calibri"/>
                <w:sz w:val="22"/>
              </w:rPr>
              <w:t>$212.30</w:t>
            </w:r>
          </w:p>
        </w:tc>
      </w:tr>
    </w:tbl>
    <w:p>
      <w:r>
        <w:rPr>
          <w:rFonts w:ascii="Calibri" w:hAnsi="Calibri"/>
          <w:b/>
          <w:color w:val="525866"/>
          <w:sz w:val="22"/>
        </w:rPr>
        <w:t xml:space="preserve">EPS Revision Commentary: </w:t>
      </w:r>
      <w:r>
        <w:rPr>
          <w:rFonts w:ascii="Calibri" w:hAnsi="Calibri"/>
          <w:color w:val="525866"/>
          <w:sz w:val="22"/>
        </w:rPr>
        <w:t>Q2 2026 adj. EPS consensus has declined from $1.901 (August 2025) to $1.841 (July 2026), a cumulative revision of -3.2% over the trailing 12 months. The bulk of the downward revision occurred between August and November 2025 (-2.2%), coinciding with the AccuLynx deal complications and the emergence of weather headwinds. Since January 2026, estimates have been essentially flat ($1.843–$1.841), suggesting the street has fully digested the trough narrative and is not pricing in further deterioration. The stock's recovery from its May 2026 trough ($174.99) to $212.30 has been driven entirely by multiple re-expansion rather than estimate upgrades, which is a less durable form of appreciation heading into the print.</w:t>
      </w:r>
    </w:p>
    <w:p>
      <w:r>
        <w:rPr>
          <w:rFonts w:ascii="Calibri" w:hAnsi="Calibri"/>
          <w:i/>
          <w:color w:val="525866"/>
          <w:sz w:val="22"/>
        </w:rPr>
        <w:t>Source: Earnings and Earnings Revision Momentum Data (Visible Alpha / Implied Platform).</w:t>
      </w:r>
    </w:p>
    <w:p>
      <w:r>
        <w:rPr>
          <w:rFonts w:ascii="Calibri" w:hAnsi="Calibri"/>
          <w:b/>
          <w:i/>
          <w:color w:val="525866"/>
          <w:sz w:val="22"/>
        </w:rPr>
        <w:t>— End of Report —</w:t>
      </w:r>
    </w:p>
    <w:p>
      <w:r>
        <w:rPr>
          <w:rFonts w:ascii="Calibri" w:hAnsi="Calibri"/>
          <w:b/>
          <w:color w:val="525866"/>
          <w:sz w:val="22"/>
        </w:rPr>
        <w:t xml:space="preserve">Disclaimer: </w:t>
      </w:r>
      <w:r>
        <w:rPr>
          <w:rFonts w:ascii="Calibri" w:hAnsi="Calibri"/>
          <w:i/>
          <w:color w:val="525866"/>
          <w:sz w:val="22"/>
        </w:rPr>
        <w:t>This earnings preview is prepared for informational purposes only based on publicly available information and consensus data as of July 28, 2026. It does not constitute investment advice. All Visible Alpha consensus data sourced from Visible Alpha Consensus and Actuals Database. Stock price data sourced from Yahoo Finance. Insider transaction data sourced from SEC EDGAR Form 4 filings. Peer commentary sourced from publicly available earnings call transcripts and press releases.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