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rt-earnings-predictions--2026-07-29"/>
    <w:p>
      <w:pPr>
        <w:pStyle w:val="Heading1"/>
      </w:pPr>
      <w:r>
        <w:t xml:space="preserve">VRT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diluted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1.52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1.43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3.46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3.39B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operating margin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~22.4% vs. cons ~21.6%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adj. EPS guide (raise)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6.55</m:t>
              </m:r>
              <m:r>
                <m:rPr>
                  <m:sty m:val="p"/>
                </m:rPr>
                <m:t>−</m:t>
              </m:r>
              <m:r>
                <m:t>6.65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6.45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net sales guide (raise)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13.9</m:t>
              </m:r>
              <m:r>
                <m:rPr>
                  <m:sty m:val="p"/>
                </m:rPr>
                <m:t>−</m:t>
              </m:r>
              <m:r>
                <m:t>14.2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13.85B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Orders/book-to-bill &amp; pipeline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pred orders up ~mid-20s% YoY, TTM book-to-bill ~1.2x vs. cons ~up ~high-teens%/~1.1x (Q2'26/2027 visibility)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EMEA organic growth H2 inflection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pred Q2 organic ~-5% improving to positive in H2 vs. cons ~-15% (Q2'26/H2'26)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revenue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3.7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3.6B (Q3'26)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+7.5%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+9.0% (FOLLOW-THROUGH)</w:t>
            </w:r>
          </w:p>
        </w:tc>
        <w:tc>
          <w:tcPr/>
          <w:p>
            <w:pPr>
              <w:pStyle w:val="Compact"/>
            </w:pPr>
            <w:r>
              <w:t xml:space="preserve">Washed-out positioning (stock -25% off highs, -6% day before print) plus a clean beat-and-raise with orders/pipeline up YoY drives positive estimate revisions and out-period EPS/margin marks higher, supporting follow-through as short covering and relief buying persist. Risk is a partial fade given ~42x forward multiple and fragile AI-capex sentiment, but upward revisions and credible H2 acceleration/EMEA inflection should keep the residual net positive.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2026-07-29T01:03:18Z</dcterms:created>
  <dcterms:modified xsi:type="dcterms:W3CDTF">2026-07-29T01:03:18Z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