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VRT thoroughly before writing the preview. Let me start by gathering recent filings, transcripts, and news.I have the key documents. Let me read the most recent earnings materials (Q1 2026 release and call) and gather more news context.I have strong Q1 2026 detail. Let me gather recent news context, stock performance, and any Investor Day update.The stock ran from ~</w:t>
      </w:r>
      <m:oMath>
        <m:r>
          <m:t>122</m:t>
        </m:r>
        <m:r>
          <m:rPr>
            <m:sty m:val="p"/>
          </m:rPr>
          <m:t>(</m:t>
        </m:r>
        <m:r>
          <m:t>J</m:t>
        </m:r>
        <m:r>
          <m:t>u</m:t>
        </m:r>
        <m:r>
          <m:t>l</m:t>
        </m:r>
        <m:r>
          <m:t>2025</m:t>
        </m:r>
        <m:r>
          <m:rPr>
            <m:sty m:val="p"/>
          </m:rPr>
          <m:t>)</m:t>
        </m:r>
        <m:r>
          <m:t>t</m:t>
        </m:r>
        <m:r>
          <m:t>o</m:t>
        </m:r>
        <m:r>
          <m:t>a</m:t>
        </m:r>
        <m:r>
          <m:t> </m:t>
        </m:r>
      </m:oMath>
      <w:r>
        <w:t xml:space="preserve">376 peak (May 2026) and has since pulled back to ~$270, including a sharp -6% drop the day before earnings. Let me pull the Investor Day long-term targets and check recent news around the pullback.I now have a comprehensive picture. Let me write the preview.</w:t>
      </w:r>
    </w:p>
    <w:bookmarkStart w:id="23" w:name="X1cbc0b4598a6c455d9c2553f776926b79fd913e"/>
    <w:p>
      <w:pPr>
        <w:pStyle w:val="Heading1"/>
      </w:pPr>
      <w:r>
        <w:t xml:space="preserve">Vertiv Holdings (VRT) — Q2 2026 Earnings Preview</w:t>
      </w:r>
    </w:p>
    <w:bookmarkStart w:id="9" w:name="X05e86d2ef9596627d4bbb67153d03f3208f909c"/>
    <w:p>
      <w:pPr>
        <w:pStyle w:val="Heading3"/>
      </w:pPr>
      <w:r>
        <w:t xml:space="preserve">Reports Wednesday, July 29, 2026 (before the open)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Vertiv goes into this print as one of the purest AI-infrastructure "picks-and-shovels" names, riding a data-center capex super-cycle — but the stock is coming in</w:t>
      </w:r>
      <w:r>
        <w:t xml:space="preserve"> </w:t>
      </w:r>
      <w:r>
        <w:rPr>
          <w:b/>
          <w:bCs/>
        </w:rPr>
        <w:t xml:space="preserve">hot on fundamentals and cold on sentiment</w:t>
      </w:r>
      <w:r>
        <w:t xml:space="preserve">. Shares closed at</w:t>
      </w:r>
      <w:r>
        <w:t xml:space="preserve"> </w:t>
      </w:r>
      <w:r>
        <w:rPr>
          <w:b/>
          <w:bCs/>
        </w:rPr>
        <w:t xml:space="preserve">~</w:t>
      </w:r>
      <m:oMath>
        <m:r>
          <m:t>269.60</m:t>
        </m:r>
        <m:r>
          <m:t>o</m:t>
        </m:r>
        <m:r>
          <m:t>n</m:t>
        </m:r>
        <m:r>
          <m:t>7</m:t>
        </m:r>
        <m:r>
          <m:rPr>
            <m:sty m:val="p"/>
          </m:rPr>
          <m:t>/</m:t>
        </m:r>
        <m:r>
          <m:t>28</m:t>
        </m:r>
        <m:r>
          <m:rPr>
            <m:sty m:val="p"/>
          </m:rPr>
          <m:t>,</m:t>
        </m:r>
        <m:r>
          <m:t>d</m:t>
        </m:r>
        <m:r>
          <m:t>o</m:t>
        </m:r>
        <m:r>
          <m:t>w</m:t>
        </m:r>
        <m:r>
          <m:t>n</m:t>
        </m:r>
        <m:r>
          <m:t> </m:t>
        </m:r>
        <m:r>
          <m:t>6</m:t>
        </m:r>
      </m:oMath>
      <w:r>
        <w:rPr>
          <w:b/>
          <w:bCs/>
        </w:rPr>
        <w:t xml:space="preserve">358–$376)</w:t>
      </w:r>
      <w:r>
        <w:t xml:space="preserve">, as a broad AI-hardware selloff (SK Hynix's ~47% rout from its June high, frothy-valuation fears across Asian semis, and a "greed-to-fear" flip) has hammered the whole complex. The fundamentals are excellent; the question is whether a beat-and-raise is already priced, and whether management can reassure a suddenly nervous market that the capex boom isn't peaking.</w:t>
      </w:r>
    </w:p>
    <w:p>
      <w:r>
        <w:pict>
          <v:rect style="width:0;height:1.5pt" o:hralign="center" o:hrstd="t" o:hr="t"/>
        </w:pict>
      </w:r>
    </w:p>
    <w:bookmarkEnd w:id="10"/>
    <w:bookmarkStart w:id="11" w:name="what-the-street-is-looking-for-q2-2026"/>
    <w:p>
      <w:pPr>
        <w:pStyle w:val="Heading2"/>
      </w:pPr>
      <w:r>
        <w:t xml:space="preserve">What the Street is looking for (Q2 2026)</w:t>
      </w:r>
    </w:p>
    <w:p>
      <w:pPr>
        <w:pStyle w:val="FirstParagraph"/>
      </w:pPr>
      <w:r>
        <w:t xml:space="preserve">Consensus sits at essentially the</w:t>
      </w:r>
      <w:r>
        <w:t xml:space="preserve"> </w:t>
      </w:r>
      <w:r>
        <w:rPr>
          <w:b/>
          <w:bCs/>
        </w:rPr>
        <w:t xml:space="preserve">top end</w:t>
      </w:r>
      <w:r>
        <w:t xml:space="preserve"> </w:t>
      </w:r>
      <w:r>
        <w:t xml:space="preserve">of management's own guidance — a demanding bar: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Street Consensus</w:t>
            </w:r>
          </w:p>
        </w:tc>
        <w:tc>
          <w:tcPr/>
          <w:p>
            <w:pPr>
              <w:pStyle w:val="Compact"/>
            </w:pPr>
            <w:r>
              <w:t xml:space="preserve">Mgmt Q2 Guide (midpoint)</w:t>
            </w:r>
          </w:p>
        </w:tc>
        <w:tc>
          <w:tcPr/>
          <w:p>
            <w:pPr>
              <w:pStyle w:val="Compact"/>
            </w:pPr>
            <w:r>
              <w:t xml:space="preserve">Implied YoY</w:t>
            </w:r>
          </w:p>
        </w:tc>
      </w:tr>
      <w:tr>
        <w:tc>
          <w:tcPr/>
          <w:p>
            <w:pPr>
              <w:pStyle w:val="Compact"/>
            </w:pPr>
            <w:r>
              <w:t xml:space="preserve">Net sales</w:t>
            </w:r>
          </w:p>
        </w:tc>
        <w:tc>
          <w:tcPr/>
          <w:p>
            <w:pPr>
              <w:pStyle w:val="Compact"/>
            </w:pPr>
            <w:r>
              <w:t xml:space="preserve">~$3.39B (+28.5%)</w:t>
            </w:r>
          </w:p>
        </w:tc>
        <w:tc>
          <w:tcPr/>
          <w:p>
            <w:pPr>
              <w:pStyle w:val="Compact"/>
            </w:pPr>
            <m:oMath>
              <m:r>
                <m:t>3.25</m:t>
              </m:r>
              <m:r>
                <m:rPr>
                  <m:sty m:val="p"/>
                </m:rPr>
                <m:t>–</m:t>
              </m:r>
              <m:r>
                <m:t>3.45</m:t>
              </m:r>
              <m:r>
                <m:t>B</m:t>
              </m:r>
              <m:r>
                <m:rPr>
                  <m:sty m:val="p"/>
                </m:rPr>
                <m:t>(</m:t>
              </m:r>
            </m:oMath>
            <w:r>
              <w:t xml:space="preserve">3.35B)</w:t>
            </w:r>
          </w:p>
        </w:tc>
        <w:tc>
          <w:tcPr/>
          <w:p>
            <w:pPr>
              <w:pStyle w:val="Compact"/>
            </w:pPr>
            <w:r>
              <w:t xml:space="preserve">+27%</w:t>
            </w:r>
          </w:p>
        </w:tc>
      </w:tr>
      <w:tr>
        <w:tc>
          <w:tcPr/>
          <w:p>
            <w:pPr>
              <w:pStyle w:val="Compact"/>
            </w:pPr>
            <w:r>
              <w:t xml:space="preserve">Adj. operating margin</w:t>
            </w:r>
          </w:p>
        </w:tc>
        <w:tc>
          <w:tcPr/>
          <w:p>
            <w:pPr>
              <w:pStyle w:val="Compact"/>
            </w:pPr>
            <w:r>
              <w:t xml:space="preserve">~21.6% (+~300 bps)</w:t>
            </w:r>
          </w:p>
        </w:tc>
        <w:tc>
          <w:tcPr/>
          <w:p>
            <w:pPr>
              <w:pStyle w:val="Compact"/>
            </w:pPr>
            <w:r>
              <w:t xml:space="preserve">20.7–21.7% (21.2%)</w:t>
            </w:r>
          </w:p>
        </w:tc>
        <w:tc>
          <w:tcPr/>
          <w:p>
            <w:pPr>
              <w:pStyle w:val="Compact"/>
            </w:pPr>
            <w:r>
              <w:t xml:space="preserve">+270 bps</w:t>
            </w:r>
          </w:p>
        </w:tc>
      </w:tr>
      <w:tr>
        <w:tc>
          <w:tcPr/>
          <w:p>
            <w:pPr>
              <w:pStyle w:val="Compact"/>
            </w:pPr>
            <w:r>
              <w:t xml:space="preserve">Adj. diluted EPS</w:t>
            </w:r>
          </w:p>
        </w:tc>
        <w:tc>
          <w:tcPr/>
          <w:p>
            <w:pPr>
              <w:pStyle w:val="Compact"/>
            </w:pPr>
            <w:r>
              <w:t xml:space="preserve">~$1.43 (+51%)</w:t>
            </w:r>
          </w:p>
        </w:tc>
        <w:tc>
          <w:tcPr/>
          <w:p>
            <w:pPr>
              <w:pStyle w:val="Compact"/>
            </w:pPr>
            <m:oMath>
              <m:r>
                <m:t>1.37</m:t>
              </m:r>
              <m:r>
                <m:rPr>
                  <m:sty m:val="p"/>
                </m:rPr>
                <m:t>–</m:t>
              </m:r>
              <m:r>
                <m:t>1.43</m:t>
              </m:r>
              <m:r>
                <m:rPr>
                  <m:sty m:val="p"/>
                </m:rPr>
                <m:t>(</m:t>
              </m:r>
            </m:oMath>
            <w:r>
              <w:t xml:space="preserve">1.40)</w:t>
            </w:r>
          </w:p>
        </w:tc>
        <w:tc>
          <w:tcPr/>
          <w:p>
            <w:pPr>
              <w:pStyle w:val="Compact"/>
            </w:pPr>
            <w:r>
              <w:t xml:space="preserve">+44–51%</w:t>
            </w:r>
          </w:p>
        </w:tc>
      </w:tr>
    </w:tbl>
    <w:p>
      <w:pPr>
        <w:pStyle w:val="BodyText"/>
      </w:pPr>
      <w:r>
        <w:t xml:space="preserve">The Street is modeling revenue and EPS at/above the high end of the guided range and ~40 bps of margin above the guide midpoint. Given VRT's recent habit of beating (Q1 adj. EPS of</w:t>
      </w:r>
      <w:r>
        <w:t xml:space="preserve"> </w:t>
      </w:r>
      <m:oMath>
        <m:r>
          <m:t>1.17</m:t>
        </m:r>
        <m:r>
          <m:t>c</m:t>
        </m:r>
        <m:r>
          <m:t>a</m:t>
        </m:r>
        <m:r>
          <m:t>m</m:t>
        </m:r>
        <m:r>
          <m:t>e</m:t>
        </m:r>
        <m:r>
          <m:t>i</m:t>
        </m:r>
        <m:r>
          <m:t>n</m:t>
        </m:r>
        <m:r>
          <m:rPr>
            <m:sty m:val="p"/>
          </m:rPr>
          <m:t>*</m:t>
        </m:r>
        <m:r>
          <m:rPr>
            <m:sty m:val="p"/>
          </m:rPr>
          <m:t>*</m:t>
        </m:r>
      </m:oMath>
      <w:r>
        <w:t xml:space="preserve">0.19 above guidance**, with margin ~180 bps above guide), a headline beat is arguably the expectation — meaning the reaction will hinge on</w:t>
      </w:r>
      <w:r>
        <w:t xml:space="preserve"> </w:t>
      </w:r>
      <w:r>
        <w:rPr>
          <w:b/>
          <w:bCs/>
        </w:rPr>
        <w:t xml:space="preserve">orders, backlog, and the full-year raise</w:t>
      </w:r>
      <w:r>
        <w:t xml:space="preserve">, not the Q2 print itself.</w:t>
      </w:r>
    </w:p>
    <w:p>
      <w:r>
        <w:pict>
          <v:rect style="width:0;height:1.5pt" o:hralign="center" o:hrstd="t" o:hr="t"/>
        </w:pict>
      </w:r>
    </w:p>
    <w:bookmarkEnd w:id="11"/>
    <w:bookmarkStart w:id="12" w:name="where-the-stock-has-been"/>
    <w:p>
      <w:pPr>
        <w:pStyle w:val="Heading2"/>
      </w:pPr>
      <w:r>
        <w:t xml:space="preserve">Where the stock has been</w:t>
      </w:r>
    </w:p>
    <w:p>
      <w:pPr>
        <w:pStyle w:val="Compact"/>
        <w:numPr>
          <w:ilvl w:val="0"/>
          <w:numId w:val="1001"/>
        </w:numPr>
      </w:pPr>
      <w:r>
        <w:rPr>
          <w:b/>
          <w:bCs/>
        </w:rPr>
        <w:t xml:space="preserve">12-month move:</w:t>
      </w:r>
      <w:r>
        <w:t xml:space="preserve"> </w:t>
      </w:r>
      <w:r>
        <w:t xml:space="preserve">~</w:t>
      </w:r>
      <m:oMath>
        <m:r>
          <m:t>122</m:t>
        </m:r>
        <m:r>
          <m:rPr>
            <m:sty m:val="p"/>
          </m:rPr>
          <m:t>(</m:t>
        </m:r>
        <m:r>
          <m:t>J</m:t>
        </m:r>
        <m:r>
          <m:t>u</m:t>
        </m:r>
        <m:sSup>
          <m:e>
            <m:r>
              <m:t>l</m:t>
            </m:r>
          </m:e>
          <m:sup>
            <m:r>
              <m:rPr>
                <m:sty m:val="p"/>
              </m:rPr>
              <m:t>′</m:t>
            </m:r>
          </m:sup>
        </m:sSup>
        <m:r>
          <m:t>25</m:t>
        </m:r>
        <m:r>
          <m:rPr>
            <m:sty m:val="p"/>
          </m:rPr>
          <m:t>)</m:t>
        </m:r>
        <m:r>
          <m:rPr>
            <m:sty m:val="p"/>
          </m:rPr>
          <m:t>→</m:t>
        </m:r>
        <m:r>
          <m:t> </m:t>
        </m:r>
      </m:oMath>
      <w:r>
        <w:t xml:space="preserve">270 (now); peaked ~$376 on May 14, 2026. Up roughly ~2x over the year, but well off the highs.</w:t>
      </w:r>
    </w:p>
    <w:p>
      <w:pPr>
        <w:pStyle w:val="Compact"/>
        <w:numPr>
          <w:ilvl w:val="0"/>
          <w:numId w:val="1001"/>
        </w:numPr>
      </w:pPr>
      <w:r>
        <w:rPr>
          <w:b/>
          <w:bCs/>
        </w:rPr>
        <w:t xml:space="preserve">2026 YTD:</w:t>
      </w:r>
      <w:r>
        <w:t xml:space="preserve"> </w:t>
      </w:r>
      <w:r>
        <w:t xml:space="preserve">+66% (from ~$162 at 2025 year-end), boosted by a huge jump in February after Q4 results,</w:t>
      </w:r>
      <w:r>
        <w:t xml:space="preserve"> </w:t>
      </w:r>
      <w:r>
        <w:rPr>
          <w:b/>
          <w:bCs/>
        </w:rPr>
        <w:t xml:space="preserve">investment-grade ratings (Moody's Baa3 / S&amp;P BBB-)</w:t>
      </w:r>
      <w:r>
        <w:t xml:space="preserve">, and</w:t>
      </w:r>
      <w:r>
        <w:t xml:space="preserve"> </w:t>
      </w:r>
      <w:r>
        <w:rPr>
          <w:b/>
          <w:bCs/>
        </w:rPr>
        <w:t xml:space="preserve">S&amp;P 500 inclusion in March 2026</w:t>
      </w:r>
      <w:r>
        <w:t xml:space="preserve">.</w:t>
      </w:r>
    </w:p>
    <w:p>
      <w:pPr>
        <w:pStyle w:val="Compact"/>
        <w:numPr>
          <w:ilvl w:val="0"/>
          <w:numId w:val="1001"/>
        </w:numPr>
      </w:pPr>
      <w:r>
        <w:rPr>
          <w:b/>
          <w:bCs/>
        </w:rPr>
        <w:t xml:space="preserve">Valuation:</w:t>
      </w:r>
      <w:r>
        <w:t xml:space="preserve"> </w:t>
      </w:r>
      <w:r>
        <w:t xml:space="preserve">at ~$270 vs. FY26 adj. EPS guidance midpoint of $6.35, VRT trades at ~42x forward earnings — a premium multiple that leaves little room for disappointment and explains the sensitivity to AI-capex sentiment.</w:t>
      </w:r>
    </w:p>
    <w:p>
      <w:r>
        <w:pict>
          <v:rect style="width:0;height:1.5pt" o:hralign="center" o:hrstd="t" o:hr="t"/>
        </w:pict>
      </w:r>
    </w:p>
    <w:bookmarkEnd w:id="12"/>
    <w:bookmarkStart w:id="20" w:name="the-key-debates--what-to-watch"/>
    <w:p>
      <w:pPr>
        <w:pStyle w:val="Heading2"/>
      </w:pPr>
      <w:r>
        <w:t xml:space="preserve">The key debates / what to watch</w:t>
      </w:r>
    </w:p>
    <w:bookmarkStart w:id="13" w:name="Xba916eee74b48769e50cd850cfa89bffcf887e3"/>
    <w:p>
      <w:pPr>
        <w:pStyle w:val="Heading3"/>
      </w:pPr>
      <w:r>
        <w:t xml:space="preserve">1. Orders, pipeline, and book-to-bill (the single most important tell)</w:t>
      </w:r>
    </w:p>
    <w:p>
      <w:pPr>
        <w:pStyle w:val="FirstParagraph"/>
      </w:pPr>
      <w:r>
        <w:t xml:space="preserve">Vertiv doesn't disclose a hard orders number, but management guides tone. On the Q1 call they said pipeline generation was "robust" and broad-based, and that they expect</w:t>
      </w:r>
      <w:r>
        <w:t xml:space="preserve"> </w:t>
      </w:r>
      <w:r>
        <w:rPr>
          <w:b/>
          <w:bCs/>
        </w:rPr>
        <w:t xml:space="preserve">orders up year-over-year for 2026</w:t>
      </w:r>
      <w:r>
        <w:t xml:space="preserve">, with backlog "a little bit more elongated" giving good visibility into 2027. Large projects increasingly carry</w:t>
      </w:r>
      <w:r>
        <w:t xml:space="preserve"> </w:t>
      </w:r>
      <w:r>
        <w:rPr>
          <w:b/>
          <w:bCs/>
        </w:rPr>
        <w:t xml:space="preserve">12–18 month requested delivery windows</w:t>
      </w:r>
      <w:r>
        <w:t xml:space="preserve">. Watch for: continued double-digit pipeline commentary, any book-to-bill color, and whether the recent AI-spending jitters have shown up</w:t>
      </w:r>
      <w:r>
        <w:t xml:space="preserve"> </w:t>
      </w:r>
      <w:r>
        <w:rPr>
          <w:i/>
          <w:iCs/>
        </w:rPr>
        <w:t xml:space="preserve">at all</w:t>
      </w:r>
      <w:r>
        <w:t xml:space="preserve"> </w:t>
      </w:r>
      <w:r>
        <w:t xml:space="preserve">in customer behavior (so far, they haven't). Any hint of order softening or push-outs would be the bear's smoking gun.</w:t>
      </w:r>
    </w:p>
    <w:bookmarkEnd w:id="13"/>
    <w:bookmarkStart w:id="14" w:name="Xf3b8f8286e0539ace40ecf2985a8002c581c528"/>
    <w:p>
      <w:pPr>
        <w:pStyle w:val="Heading3"/>
      </w:pPr>
      <w:r>
        <w:t xml:space="preserve">2. The full-year guidance raise (and how much)</w:t>
      </w:r>
    </w:p>
    <w:p>
      <w:pPr>
        <w:pStyle w:val="FirstParagraph"/>
      </w:pPr>
      <w:r>
        <w:t xml:space="preserve">Management raised FY26 twice-over already: current FY guide is</w:t>
      </w:r>
      <w:r>
        <w:t xml:space="preserve"> </w:t>
      </w:r>
      <w:r>
        <w:rPr>
          <w:b/>
          <w:bCs/>
        </w:rPr>
        <w:t xml:space="preserve">sales $13.5–14.0B (organic +29–31%), adj. op. margin 22.8–23.8%, adj. EPS $6.30–6.40, adj. FCF $2.1–2.3B</w:t>
      </w:r>
      <w:r>
        <w:t xml:space="preserve">. The full-year math implies growth</w:t>
      </w:r>
      <w:r>
        <w:t xml:space="preserve"> </w:t>
      </w:r>
      <w:r>
        <w:rPr>
          <w:i/>
          <w:iCs/>
        </w:rPr>
        <w:t xml:space="preserve">accelerates</w:t>
      </w:r>
      <w:r>
        <w:t xml:space="preserve"> </w:t>
      </w:r>
      <w:r>
        <w:t xml:space="preserve">in H2 (H1 organic ~22–23% vs. ~30%+ full year) on new capacity coming online, Q4 backlog conversion, and the EMEA/APAC ramp. Any raise is likely; the debate is magnitude vs. an already-elevated bar. Watch the H2 acceleration story for credibility.</w:t>
      </w:r>
    </w:p>
    <w:bookmarkEnd w:id="14"/>
    <w:bookmarkStart w:id="15" w:name="Xa3114f926ed1c20872b1128691fb3233efcaf0b"/>
    <w:p>
      <w:pPr>
        <w:pStyle w:val="Heading3"/>
      </w:pPr>
      <w:r>
        <w:t xml:space="preserve">3. Regional dynamics — especially EMEA's "uncoiling spring"</w:t>
      </w:r>
    </w:p>
    <w:p>
      <w:pPr>
        <w:pStyle w:val="Compact"/>
        <w:numPr>
          <w:ilvl w:val="0"/>
          <w:numId w:val="1002"/>
        </w:numPr>
      </w:pPr>
      <w:r>
        <w:rPr>
          <w:b/>
          <w:bCs/>
        </w:rPr>
        <w:t xml:space="preserve">Americas:</w:t>
      </w:r>
      <w:r>
        <w:t xml:space="preserve"> </w:t>
      </w:r>
      <w:r>
        <w:t xml:space="preserve">the engine — +44% organic in Q1, guided high-30s organic for the year. Watch for continued hyperscale/colo/neocloud strength.</w:t>
      </w:r>
    </w:p>
    <w:p>
      <w:pPr>
        <w:pStyle w:val="Compact"/>
        <w:numPr>
          <w:ilvl w:val="0"/>
          <w:numId w:val="1002"/>
        </w:numPr>
      </w:pPr>
      <w:r>
        <w:rPr>
          <w:b/>
          <w:bCs/>
        </w:rPr>
        <w:t xml:space="preserve">EMEA:</w:t>
      </w:r>
      <w:r>
        <w:t xml:space="preserve"> </w:t>
      </w:r>
      <w:r>
        <w:t xml:space="preserve">the swing factor —</w:t>
      </w:r>
      <w:r>
        <w:t xml:space="preserve"> </w:t>
      </w:r>
      <w:r>
        <w:rPr>
          <w:b/>
          <w:bCs/>
        </w:rPr>
        <w:t xml:space="preserve">down 29% organic in Q1</w:t>
      </w:r>
      <w:r>
        <w:t xml:space="preserve"> </w:t>
      </w:r>
      <w:r>
        <w:t xml:space="preserve">(lapping soft mid-2025 orders), but management expressed rising conviction in a</w:t>
      </w:r>
      <w:r>
        <w:t xml:space="preserve"> </w:t>
      </w:r>
      <w:r>
        <w:rPr>
          <w:b/>
          <w:bCs/>
        </w:rPr>
        <w:t xml:space="preserve">return to growth in H2</w:t>
      </w:r>
      <w:r>
        <w:t xml:space="preserve"> </w:t>
      </w:r>
      <w:r>
        <w:t xml:space="preserve">on strong Q4/Q1 bookings and a structural shortage of AI-capable capacity in Europe. Guided flat for the full year, so H2 must inflect. Confirmation here de-risks the back-half guide.</w:t>
      </w:r>
    </w:p>
    <w:p>
      <w:pPr>
        <w:pStyle w:val="Compact"/>
        <w:numPr>
          <w:ilvl w:val="0"/>
          <w:numId w:val="1002"/>
        </w:numPr>
      </w:pPr>
      <w:r>
        <w:rPr>
          <w:b/>
          <w:bCs/>
        </w:rPr>
        <w:t xml:space="preserve">APAC:</w:t>
      </w:r>
      <w:r>
        <w:t xml:space="preserve"> </w:t>
      </w:r>
      <w:r>
        <w:t xml:space="preserve">+12% organic in Q1 (timing-affected), guided mid-20s for the year; watch India, rest-of-Asia, and improving China pipeline.</w:t>
      </w:r>
    </w:p>
    <w:bookmarkEnd w:id="15"/>
    <w:bookmarkStart w:id="16" w:name="Xc9658c795b6d603ca6e91bb9da5fd59d04701e3"/>
    <w:p>
      <w:pPr>
        <w:pStyle w:val="Heading3"/>
      </w:pPr>
      <w:r>
        <w:t xml:space="preserve">4. Margins and tariffs</w:t>
      </w:r>
    </w:p>
    <w:p>
      <w:pPr>
        <w:pStyle w:val="FirstParagraph"/>
      </w:pPr>
      <w:r>
        <w:t xml:space="preserve">Q1 adjusted operating margin hit 20.8% (+430 bps). Management says it is</w:t>
      </w:r>
      <w:r>
        <w:t xml:space="preserve"> </w:t>
      </w:r>
      <w:r>
        <w:rPr>
          <w:b/>
          <w:bCs/>
        </w:rPr>
        <w:t xml:space="preserve">materially offsetting tariff impacts</w:t>
      </w:r>
      <w:r>
        <w:t xml:space="preserve"> </w:t>
      </w:r>
      <w:r>
        <w:t xml:space="preserve">through pricing and countermeasures and expects to be</w:t>
      </w:r>
      <w:r>
        <w:t xml:space="preserve"> </w:t>
      </w:r>
      <w:r>
        <w:rPr>
          <w:b/>
          <w:bCs/>
        </w:rPr>
        <w:t xml:space="preserve">price-cost positive for the full year</w:t>
      </w:r>
      <w:r>
        <w:t xml:space="preserve">, even as Section 232 rules kept shifting. Q2 was flagged as one of the</w:t>
      </w:r>
      <w:r>
        <w:t xml:space="preserve"> </w:t>
      </w:r>
      <w:r>
        <w:rPr>
          <w:b/>
          <w:bCs/>
        </w:rPr>
        <w:t xml:space="preserve">bigger capacity-ramp quarters</w:t>
      </w:r>
      <w:r>
        <w:t xml:space="preserve">, implying a temporary sequential incremental-margin dip (low-20s q/q) before full-year incrementals of 30–35%. Watch: is price-cost still positive, and are ramp costs tracking as guided?</w:t>
      </w:r>
    </w:p>
    <w:bookmarkEnd w:id="16"/>
    <w:bookmarkStart w:id="17" w:name="Xf429c883eeb4b981b658f6f312ff305707f7646"/>
    <w:p>
      <w:pPr>
        <w:pStyle w:val="Heading3"/>
      </w:pPr>
      <w:r>
        <w:t xml:space="preserve">5. Capacity, capex and free cash flow</w:t>
      </w:r>
    </w:p>
    <w:p>
      <w:pPr>
        <w:pStyle w:val="FirstParagraph"/>
      </w:pPr>
      <w:r>
        <w:t xml:space="preserve">VRT is deliberately</w:t>
      </w:r>
      <w:r>
        <w:t xml:space="preserve"> </w:t>
      </w:r>
      <w:r>
        <w:rPr>
          <w:b/>
          <w:bCs/>
        </w:rPr>
        <w:t xml:space="preserve">spending ahead of demand</w:t>
      </w:r>
      <w:r>
        <w:t xml:space="preserve"> </w:t>
      </w:r>
      <w:r>
        <w:t xml:space="preserve">— Q1 capex tripled YoY ($113M vs. $37M) to expand manufacturing (esp. Americas), services headcount, and engineering/test labs. FCF was still strong (Q1 adj. FCF</w:t>
      </w:r>
      <w:r>
        <w:t xml:space="preserve"> </w:t>
      </w:r>
      <m:oMath>
        <m:r>
          <m:t>653</m:t>
        </m:r>
        <m:r>
          <m:t>M</m:t>
        </m:r>
        <m:r>
          <m:rPr>
            <m:sty m:val="p"/>
          </m:rPr>
          <m:t>,</m:t>
        </m:r>
        <m:r>
          <m:rPr>
            <m:sty m:val="p"/>
          </m:rPr>
          <m:t>+</m:t>
        </m:r>
        <m:r>
          <m:t>147</m:t>
        </m:r>
      </m:oMath>
      <w:r>
        <w:t xml:space="preserve">5B liquidity**. Watch deferred revenue/customer advances (a proxy for booking strength — it jumped to $2.46B) and whether the $2.2B FCF guide holds despite the inventory build for the ramp.</w:t>
      </w:r>
    </w:p>
    <w:bookmarkEnd w:id="17"/>
    <w:bookmarkStart w:id="18" w:name="X19422170d5f44139638744a7513ed09b6234883"/>
    <w:p>
      <w:pPr>
        <w:pStyle w:val="Heading3"/>
      </w:pPr>
      <w:r>
        <w:t xml:space="preserve">6. Technology roadmap — the structural bull case</w:t>
      </w:r>
    </w:p>
    <w:p>
      <w:pPr>
        <w:pStyle w:val="FirstParagraph"/>
      </w:pPr>
      <w:r>
        <w:t xml:space="preserve">At its May Investor Day, VRT laid out a differentiated, multi-architecture roadmap that increases dollar-of-content per megawatt:</w:t>
      </w:r>
    </w:p>
    <w:p>
      <w:pPr>
        <w:pStyle w:val="Compact"/>
        <w:numPr>
          <w:ilvl w:val="0"/>
          <w:numId w:val="1003"/>
        </w:numPr>
      </w:pPr>
      <w:r>
        <w:rPr>
          <w:b/>
          <w:bCs/>
        </w:rPr>
        <w:t xml:space="preserve">800V DC / ±400V DC power</w:t>
      </w:r>
      <w:r>
        <w:t xml:space="preserve"> </w:t>
      </w:r>
      <w:r>
        <w:t xml:space="preserve">for next-gen high-density racks — product ready end-2026, commercialization 2027, steady ramp through 2027.</w:t>
      </w:r>
    </w:p>
    <w:p>
      <w:pPr>
        <w:pStyle w:val="Compact"/>
        <w:numPr>
          <w:ilvl w:val="0"/>
          <w:numId w:val="1003"/>
        </w:numPr>
      </w:pPr>
      <w:r>
        <w:t xml:space="preserve">A</w:t>
      </w:r>
      <w:r>
        <w:t xml:space="preserve"> </w:t>
      </w:r>
      <w:r>
        <w:rPr>
          <w:b/>
          <w:bCs/>
        </w:rPr>
        <w:t xml:space="preserve">new MV BESS-UPS category</w:t>
      </w:r>
      <w:r>
        <w:t xml:space="preserve"> </w:t>
      </w:r>
      <w:r>
        <w:t xml:space="preserve">and grid-interactive "bring-your-own-power" solutions (partnerships with Caterpillar, Oklo, CPower).</w:t>
      </w:r>
    </w:p>
    <w:p>
      <w:pPr>
        <w:pStyle w:val="Compact"/>
        <w:numPr>
          <w:ilvl w:val="0"/>
          <w:numId w:val="1003"/>
        </w:numPr>
      </w:pPr>
      <w:r>
        <w:rPr>
          <w:b/>
          <w:bCs/>
        </w:rPr>
        <w:t xml:space="preserve">Liquid cooling as mission-critical</w:t>
      </w:r>
      <w:r>
        <w:t xml:space="preserve">, plus the</w:t>
      </w:r>
      <w:r>
        <w:t xml:space="preserve"> </w:t>
      </w:r>
      <w:r>
        <w:rPr>
          <w:b/>
          <w:bCs/>
        </w:rPr>
        <w:t xml:space="preserve">CoolLoop Trim Cooler</w:t>
      </w:r>
      <w:r>
        <w:t xml:space="preserve"> </w:t>
      </w:r>
      <w:r>
        <w:t xml:space="preserve">(dry-cooler + chiller hybrid) enabling 45°C operation.</w:t>
      </w:r>
    </w:p>
    <w:p>
      <w:pPr>
        <w:pStyle w:val="Compact"/>
        <w:numPr>
          <w:ilvl w:val="0"/>
          <w:numId w:val="1003"/>
        </w:numPr>
      </w:pPr>
      <w:r>
        <w:rPr>
          <w:b/>
          <w:bCs/>
        </w:rPr>
        <w:t xml:space="preserve">SmartRun / OneCore converged/prefabricated infrastructure</w:t>
      </w:r>
      <w:r>
        <w:t xml:space="preserve"> </w:t>
      </w:r>
      <w:r>
        <w:t xml:space="preserve">scaling to gigawatt campuses — the "AI factory as the product" thesis.</w:t>
      </w:r>
    </w:p>
    <w:p>
      <w:pPr>
        <w:pStyle w:val="Compact"/>
        <w:numPr>
          <w:ilvl w:val="0"/>
          <w:numId w:val="1003"/>
        </w:numPr>
      </w:pPr>
      <w:r>
        <w:t xml:space="preserve">Rising</w:t>
      </w:r>
      <w:r>
        <w:t xml:space="preserve"> </w:t>
      </w:r>
      <w:r>
        <w:rPr>
          <w:b/>
          <w:bCs/>
        </w:rPr>
        <w:t xml:space="preserve">services attach</w:t>
      </w:r>
      <w:r>
        <w:t xml:space="preserve"> </w:t>
      </w:r>
      <w:r>
        <w:t xml:space="preserve">(bolstered by PurgeRite fluid management, Strategic Thermal Labs). Any updated commentary on 800V customer validation, liquid-cooling scaling, or services growth supports the durability narrative.</w:t>
      </w:r>
    </w:p>
    <w:bookmarkEnd w:id="18"/>
    <w:bookmarkStart w:id="19" w:name="Xa9b8f9bf8e1600ab4974bc74da09035dbfa2734"/>
    <w:p>
      <w:pPr>
        <w:pStyle w:val="Heading3"/>
      </w:pPr>
      <w:r>
        <w:t xml:space="preserve">7. Capital allocation / M&amp;A cadence</w:t>
      </w:r>
    </w:p>
    <w:p>
      <w:pPr>
        <w:pStyle w:val="FirstParagraph"/>
      </w:pPr>
      <w:r>
        <w:t xml:space="preserve">Management has been active with bolt-on, technology-focused M&amp;A (PurgeRite, ThermoKey, BMarko Structures, Strategic Thermal Labs) and signaled willingness to "cut bigger checks" when value warrants, backed by the strong balance sheet. Watch for any new deals, buyback appetite, or dividend commentary.</w:t>
      </w:r>
    </w:p>
    <w:p>
      <w:r>
        <w:pict>
          <v:rect style="width:0;height:1.5pt" o:hralign="center" o:hrstd="t" o:hr="t"/>
        </w:pict>
      </w:r>
    </w:p>
    <w:bookmarkEnd w:id="19"/>
    <w:bookmarkEnd w:id="20"/>
    <w:bookmarkStart w:id="21" w:name="bull-vs-bear-into-the-print"/>
    <w:p>
      <w:pPr>
        <w:pStyle w:val="Heading2"/>
      </w:pPr>
      <w:r>
        <w:t xml:space="preserve">Bull vs. bear into the print</w:t>
      </w:r>
    </w:p>
    <w:p>
      <w:pPr>
        <w:pStyle w:val="FirstParagraph"/>
      </w:pPr>
      <w:r>
        <w:rPr>
          <w:b/>
          <w:bCs/>
        </w:rPr>
        <w:t xml:space="preserve">Bull case:</w:t>
      </w:r>
      <w:r>
        <w:t xml:space="preserve"> </w:t>
      </w:r>
      <w:r>
        <w:t xml:space="preserve">Demand is broad-based and accelerating; orders/pipeline up YoY; H2 acceleration is real (capacity + EMEA recovery + Rubin-generation deployments); tariffs offset; margins compounding; balance sheet a weapon for M&amp;A; content-per-MW rising with 800V, converged infra, and services. A beat-and-raise reaffirms VRT as the premier AI-infra play.</w:t>
      </w:r>
    </w:p>
    <w:p>
      <w:pPr>
        <w:pStyle w:val="BodyText"/>
      </w:pPr>
      <w:r>
        <w:rPr>
          <w:b/>
          <w:bCs/>
        </w:rPr>
        <w:t xml:space="preserve">Bear case:</w:t>
      </w:r>
      <w:r>
        <w:t xml:space="preserve"> </w:t>
      </w:r>
      <w:r>
        <w:t xml:space="preserve">Stock is ~42x forward and just fell 25% off the highs; AI-capex "over-spending/frothy valuation" fears are contagious; a top-of-range consensus means an in-line print could disappoint; H2 guide requires acceleration that leans on EMEA and new capacity executing flawlessly; any order deceleration, tariff/price-cost slippage, or hyperscaler-capex wobble would hit a crowded, richly-valued name hard.</w:t>
      </w:r>
    </w:p>
    <w:p>
      <w:r>
        <w:pict>
          <v:rect style="width:0;height:1.5pt" o:hralign="center" o:hrstd="t" o:hr="t"/>
        </w:pict>
      </w:r>
    </w:p>
    <w:bookmarkEnd w:id="21"/>
    <w:bookmarkStart w:id="22" w:name="bottom-line"/>
    <w:p>
      <w:pPr>
        <w:pStyle w:val="Heading2"/>
      </w:pPr>
      <w:r>
        <w:t xml:space="preserve">Bottom line</w:t>
      </w:r>
    </w:p>
    <w:p>
      <w:pPr>
        <w:pStyle w:val="FirstParagraph"/>
      </w:pPr>
      <w:r>
        <w:t xml:space="preserve">Vertiv's operating momentum is arguably the strongest it's ever been, and a beat-and-raise is close to the base case. But the setup is asymmetric: with consensus at the top of the guide, a ~42x multiple, and the entire AI-hardware complex selling off on spending-fatigue fears,</w:t>
      </w:r>
      <w:r>
        <w:t xml:space="preserve"> </w:t>
      </w:r>
      <w:r>
        <w:rPr>
          <w:b/>
          <w:bCs/>
        </w:rPr>
        <w:t xml:space="preserve">the print will be judged on forward signals — orders/pipeline commentary, the size and credibility of the FY26 raise, EMEA's H2 inflection, and management's read on the durability of the capex cycle — far more than on the Q2 numbers themselves.</w:t>
      </w:r>
      <w:r>
        <w:t xml:space="preserve"> </w:t>
      </w:r>
      <w:r>
        <w:t xml:space="preserve">Expect an outsized share-price reaction in either direction given elevated positioning and jittery sentiment.</w:t>
      </w:r>
    </w:p>
    <w:p>
      <w:pPr>
        <w:pStyle w:val="BodyText"/>
      </w:pPr>
      <w:r>
        <w:rPr>
          <w:i/>
          <w:iCs/>
        </w:rPr>
        <w:t xml:space="preserve">Sources: VRT Q1 2026 earnings release and conference call (April 22, 2026); VRT 2026 Investor Conference (May 20, 2026); daily news digests and consensus estimates (July 2026); historical price data (Finnhub). Figures for the July 29 report are pre-release expectations, not actuals.</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2026-07-29T01:03:18Z</dcterms:created>
  <dcterms:modified xsi:type="dcterms:W3CDTF">2026-07-29T01:03:18Z</dcterms:modified>
</cp:coreProperties>
</file>

<file path=docProps/custom.xml><?xml version="1.0" encoding="utf-8"?>
<Properties xmlns="http://schemas.openxmlformats.org/officeDocument/2006/custom-properties" xmlns:vt="http://schemas.openxmlformats.org/officeDocument/2006/docPropsVTypes"/>
</file>