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ec80efcc10bfb6dbc1af0fcfe81485e2b957254"/>
    <w:p>
      <w:pPr>
        <w:pStyle w:val="Heading1"/>
      </w:pPr>
      <w:r>
        <w:t xml:space="preserve">Vertiv Holdings Co. (VRT)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11:00 a.m.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Vertiv heads into its second-quarter report as one of the most closely watched "AI infrastructure" stories on the market, but the setup is more complicated than it was a few months ago. The stock rallied from roughly $175 at the start of 2026 to an all-time high near</w:t>
      </w:r>
      <w:r>
        <w:t xml:space="preserve"> </w:t>
      </w:r>
      <m:oMath>
        <m:r>
          <m:t>376</m:t>
        </m:r>
        <m:r>
          <m:t>i</m:t>
        </m:r>
        <m:r>
          <m:t>n</m:t>
        </m:r>
        <m:r>
          <m:t>m</m:t>
        </m:r>
        <m:r>
          <m:t>i</m:t>
        </m:r>
        <m:r>
          <m:t>d</m:t>
        </m:r>
        <m:r>
          <m:rPr>
            <m:sty m:val="p"/>
          </m:rPr>
          <m:t>−</m:t>
        </m:r>
        <m:r>
          <m:t>M</m:t>
        </m:r>
        <m:r>
          <m:t>a</m:t>
        </m:r>
        <m:r>
          <m:t>y</m:t>
        </m:r>
        <m:r>
          <m:rPr>
            <m:sty m:val="p"/>
          </m:rPr>
          <m:t>,</m:t>
        </m:r>
        <m:r>
          <m:t>t</m:t>
        </m:r>
        <m:r>
          <m:t>h</m:t>
        </m:r>
        <m:r>
          <m:t>e</m:t>
        </m:r>
        <m:r>
          <m:t>n</m:t>
        </m:r>
        <m:r>
          <m:t>r</m:t>
        </m:r>
        <m:r>
          <m:t>o</m:t>
        </m:r>
        <m:r>
          <m:t>u</m:t>
        </m:r>
        <m:r>
          <m:t>n</m:t>
        </m:r>
        <m:r>
          <m:t>d</m:t>
        </m:r>
        <m:r>
          <m:rPr>
            <m:sty m:val="p"/>
          </m:rPr>
          <m:t>−</m:t>
        </m:r>
        <m:r>
          <m:t>t</m:t>
        </m:r>
        <m:r>
          <m:t>r</m:t>
        </m:r>
        <m:r>
          <m:t>i</m:t>
        </m:r>
        <m:r>
          <m:t>p</m:t>
        </m:r>
        <m:r>
          <m:t>p</m:t>
        </m:r>
        <m:r>
          <m:t>e</m:t>
        </m:r>
        <m:r>
          <m:t>d</m:t>
        </m:r>
        <m:r>
          <m:t>m</m:t>
        </m:r>
        <m:r>
          <m:t>u</m:t>
        </m:r>
        <m:r>
          <m:t>c</m:t>
        </m:r>
        <m:r>
          <m:t>h</m:t>
        </m:r>
        <m:r>
          <m:t>o</m:t>
        </m:r>
        <m:r>
          <m:t>f</m:t>
        </m:r>
        <m:r>
          <m:t>t</m:t>
        </m:r>
        <m:r>
          <m:t>h</m:t>
        </m:r>
        <m:r>
          <m:t>a</m:t>
        </m:r>
        <m:r>
          <m:t>t</m:t>
        </m:r>
        <m:r>
          <m:t>g</m:t>
        </m:r>
        <m:r>
          <m:t>a</m:t>
        </m:r>
        <m:r>
          <m:t>i</m:t>
        </m:r>
        <m:r>
          <m:t>n</m:t>
        </m:r>
        <m:r>
          <m:rPr>
            <m:sty m:val="p"/>
          </m:rPr>
          <m:t>—</m:t>
        </m:r>
        <m:r>
          <m:t>c</m:t>
        </m:r>
        <m:r>
          <m:t>l</m:t>
        </m:r>
        <m:r>
          <m:t>o</m:t>
        </m:r>
        <m:r>
          <m:t>s</m:t>
        </m:r>
        <m:r>
          <m:t>i</m:t>
        </m:r>
        <m:r>
          <m:t>n</m:t>
        </m:r>
        <m:r>
          <m:t>g</m:t>
        </m:r>
        <m:r>
          <m:t>a</m:t>
        </m:r>
        <m:r>
          <m:t>t</m:t>
        </m:r>
        <m:r>
          <m:rPr>
            <m:sty m:val="p"/>
          </m:rPr>
          <m:t>*</m:t>
        </m:r>
        <m:r>
          <m:rPr>
            <m:sty m:val="p"/>
          </m:rPr>
          <m:t>*</m:t>
        </m:r>
      </m:oMath>
      <w:r>
        <w:t xml:space="preserve">269.60** the day before earnings, down more than 28% from the May peak and off another ~6% in the final session alone. The move mirrors a broader "AI capex fear" trade that has hit semiconductor and data-center-infrastructure names hard in recent weeks — SK Hynix has lost nearly $600 billion in market value and fallen 47% from its June high, and commentary has framed the tape as</w:t>
      </w:r>
      <w:r>
        <w:t xml:space="preserve"> </w:t>
      </w:r>
      <w:r>
        <w:rPr>
          <w:b/>
          <w:bCs/>
        </w:rPr>
        <w:t xml:space="preserve">"greed has turned into fear for AI-related semiconductor stocks."</w:t>
      </w:r>
      <w:r>
        <w:t xml:space="preserve"> </w:t>
      </w:r>
      <w:r>
        <w:t xml:space="preserve">Vertiv is being swept up in that de-rating even though nothing company-specific has changed since its bullish May Investor Day.</w:t>
      </w:r>
    </w:p>
    <w:p>
      <w:pPr>
        <w:pStyle w:val="BodyText"/>
      </w:pPr>
      <w:r>
        <w:t xml:space="preserve">Against that backdrop, sentiment into the print is still described as</w:t>
      </w:r>
      <w:r>
        <w:t xml:space="preserve"> </w:t>
      </w:r>
      <w:r>
        <w:rPr>
          <w:b/>
          <w:bCs/>
        </w:rPr>
        <w:t xml:space="preserve">"very bullish,"</w:t>
      </w:r>
      <w:r>
        <w:t xml:space="preserve"> </w:t>
      </w:r>
      <w:r>
        <w:t xml:space="preserve">with the Street expecting sales up 28.5% to $3.39 billion, operating margin up roughly 300 bps year-over-year to 21.6%, and EPS up 51% to $1.43 — modestly ahead of Vertiv's own Q2 guidance (see below), continuing the pattern of consensus creeping just above management's conservative guide.</w:t>
      </w:r>
    </w:p>
    <w:bookmarkEnd w:id="9"/>
    <w:bookmarkStart w:id="10" w:name="X77710457f78c0949ea88811643bf1b7096e421a"/>
    <w:p>
      <w:pPr>
        <w:pStyle w:val="Heading2"/>
      </w:pPr>
      <w:r>
        <w:t xml:space="preserve">2. What Vertiv Guided To Last Quarter</w:t>
      </w:r>
    </w:p>
    <w:p>
      <w:pPr>
        <w:pStyle w:val="FirstParagraph"/>
      </w:pPr>
      <w:r>
        <w:t xml:space="preserve">Q1 2026 (reported April 22) was another beat-and-raise quarter. Organic sales grew 23% (30% including M&amp;A/FX), adjusted operating margin hit 20.8% (up 430 bps y/y and 180 bps above guidance), adjusted operating profit rose 64% to $551 million, and adjusted diluted EPS of $1.17 beat guidance by $0.19. Adjusted free cash flow more than doubled to $653 million, and net leverage stood at just 0.2x.</w:t>
      </w:r>
    </w:p>
    <w:p>
      <w:pPr>
        <w:pStyle w:val="BodyText"/>
      </w:pPr>
      <w:r>
        <w:t xml:space="preserve">For</w:t>
      </w:r>
      <w:r>
        <w:t xml:space="preserve"> </w:t>
      </w:r>
      <w:r>
        <w:rPr>
          <w:b/>
          <w:bCs/>
        </w:rPr>
        <w:t xml:space="preserve">Q2 2026, management's own guidance</w:t>
      </w:r>
      <w:r>
        <w:t xml:space="preserve"> </w:t>
      </w:r>
      <w:r>
        <w:t xml:space="preserve">(the bar to beat) calls for:</w:t>
      </w:r>
    </w:p>
    <w:p>
      <w:pPr>
        <w:pStyle w:val="Compact"/>
        <w:numPr>
          <w:ilvl w:val="0"/>
          <w:numId w:val="1001"/>
        </w:numPr>
      </w:pPr>
      <w:r>
        <w:t xml:space="preserve">Net sales at the midpoint of</w:t>
      </w:r>
      <w:r>
        <w:t xml:space="preserve"> </w:t>
      </w:r>
      <w:r>
        <w:rPr>
          <w:b/>
          <w:bCs/>
        </w:rPr>
        <w:t xml:space="preserve">$3.35 billion</w:t>
      </w:r>
      <w:r>
        <w:t xml:space="preserve"> </w:t>
      </w:r>
      <w:r>
        <w:t xml:space="preserve">(~27% y/y growth)</w:t>
      </w:r>
    </w:p>
    <w:p>
      <w:pPr>
        <w:pStyle w:val="Compact"/>
        <w:numPr>
          <w:ilvl w:val="0"/>
          <w:numId w:val="1001"/>
        </w:numPr>
      </w:pPr>
      <w:r>
        <w:t xml:space="preserve">Adjusted operating profit midpoint of</w:t>
      </w:r>
      <w:r>
        <w:t xml:space="preserve"> </w:t>
      </w:r>
      <w:r>
        <w:rPr>
          <w:b/>
          <w:bCs/>
        </w:rPr>
        <w:t xml:space="preserve">$710 million</w:t>
      </w:r>
      <w:r>
        <w:t xml:space="preserve"> </w:t>
      </w:r>
      <w:r>
        <w:t xml:space="preserve">(+45% y/y)</w:t>
      </w:r>
    </w:p>
    <w:p>
      <w:pPr>
        <w:pStyle w:val="Compact"/>
        <w:numPr>
          <w:ilvl w:val="0"/>
          <w:numId w:val="1001"/>
        </w:numPr>
      </w:pPr>
      <w:r>
        <w:t xml:space="preserve">Adjusted operating margin midpoint of</w:t>
      </w:r>
      <w:r>
        <w:t xml:space="preserve"> </w:t>
      </w:r>
      <w:r>
        <w:rPr>
          <w:b/>
          <w:bCs/>
        </w:rPr>
        <w:t xml:space="preserve">21.2%</w:t>
      </w:r>
      <w:r>
        <w:t xml:space="preserve"> </w:t>
      </w:r>
      <w:r>
        <w:t xml:space="preserve">(+270 bps y/y)</w:t>
      </w:r>
    </w:p>
    <w:p>
      <w:pPr>
        <w:pStyle w:val="Compact"/>
        <w:numPr>
          <w:ilvl w:val="0"/>
          <w:numId w:val="1001"/>
        </w:numPr>
      </w:pPr>
      <w:r>
        <w:t xml:space="preserve">Adjusted diluted EPS midpoint of</w:t>
      </w:r>
      <w:r>
        <w:t xml:space="preserve"> </w:t>
      </w:r>
      <w:r>
        <w:rPr>
          <w:b/>
          <w:bCs/>
        </w:rPr>
        <w:t xml:space="preserve">$1.40</w:t>
      </w:r>
      <w:r>
        <w:t xml:space="preserve"> </w:t>
      </w:r>
      <w:r>
        <w:t xml:space="preserve">(+47% y/y)</w:t>
      </w:r>
    </w:p>
    <w:p>
      <w:pPr>
        <w:pStyle w:val="FirstParagraph"/>
      </w:pPr>
      <w:r>
        <w:t xml:space="preserve">Management flagged that Q2 would see one of the year's biggest capacity ramps, creating a temporary sequential margin headwind even as tariff costs are expected to be materially offset for the year.</w:t>
      </w:r>
    </w:p>
    <w:p>
      <w:pPr>
        <w:pStyle w:val="BodyText"/>
      </w:pPr>
      <w:r>
        <w:rPr>
          <w:b/>
          <w:bCs/>
        </w:rPr>
        <w:t xml:space="preserve">Full-year 2026 guidance</w:t>
      </w:r>
      <w:r>
        <w:t xml:space="preserve"> </w:t>
      </w:r>
      <w:r>
        <w:t xml:space="preserve">(raised at Q1) now stands at:</w:t>
      </w:r>
    </w:p>
    <w:p>
      <w:pPr>
        <w:pStyle w:val="Compact"/>
        <w:numPr>
          <w:ilvl w:val="0"/>
          <w:numId w:val="1002"/>
        </w:numPr>
      </w:pPr>
      <w:r>
        <w:t xml:space="preserve">Net sales midpoint of</w:t>
      </w:r>
      <w:r>
        <w:t xml:space="preserve"> </w:t>
      </w:r>
      <w:r>
        <w:rPr>
          <w:b/>
          <w:bCs/>
        </w:rPr>
        <w:t xml:space="preserve">$13.75 billion</w:t>
      </w:r>
      <w:r>
        <w:t xml:space="preserve"> </w:t>
      </w:r>
      <w:r>
        <w:t xml:space="preserve">(+34% y/y)</w:t>
      </w:r>
    </w:p>
    <w:p>
      <w:pPr>
        <w:pStyle w:val="Compact"/>
        <w:numPr>
          <w:ilvl w:val="0"/>
          <w:numId w:val="1002"/>
        </w:numPr>
      </w:pPr>
      <w:r>
        <w:t xml:space="preserve">Adjusted operating margin midpoint of</w:t>
      </w:r>
      <w:r>
        <w:t xml:space="preserve"> </w:t>
      </w:r>
      <w:r>
        <w:rPr>
          <w:b/>
          <w:bCs/>
        </w:rPr>
        <w:t xml:space="preserve">23.3%</w:t>
      </w:r>
      <w:r>
        <w:t xml:space="preserve"> </w:t>
      </w:r>
      <w:r>
        <w:t xml:space="preserve">(+290 bps y/y, +80 bps vs. prior guide)</w:t>
      </w:r>
    </w:p>
    <w:p>
      <w:pPr>
        <w:pStyle w:val="Compact"/>
        <w:numPr>
          <w:ilvl w:val="0"/>
          <w:numId w:val="1002"/>
        </w:numPr>
      </w:pPr>
      <w:r>
        <w:t xml:space="preserve">Adjusted operating profit midpoint of</w:t>
      </w:r>
      <w:r>
        <w:t xml:space="preserve"> </w:t>
      </w:r>
      <w:r>
        <w:rPr>
          <w:b/>
          <w:bCs/>
        </w:rPr>
        <w:t xml:space="preserve">$3.2 billion</w:t>
      </w:r>
      <w:r>
        <w:t xml:space="preserve"> </w:t>
      </w:r>
      <w:r>
        <w:t xml:space="preserve">(+53% y/y)</w:t>
      </w:r>
    </w:p>
    <w:p>
      <w:pPr>
        <w:pStyle w:val="Compact"/>
        <w:numPr>
          <w:ilvl w:val="0"/>
          <w:numId w:val="1002"/>
        </w:numPr>
      </w:pPr>
      <w:r>
        <w:t xml:space="preserve">Adjusted diluted EPS midpoint of</w:t>
      </w:r>
      <w:r>
        <w:t xml:space="preserve"> </w:t>
      </w:r>
      <w:r>
        <w:rPr>
          <w:b/>
          <w:bCs/>
        </w:rPr>
        <w:t xml:space="preserve">$6.35</w:t>
      </w:r>
      <w:r>
        <w:t xml:space="preserve"> </w:t>
      </w:r>
      <w:r>
        <w:t xml:space="preserve">(+51% y/y)</w:t>
      </w:r>
    </w:p>
    <w:p>
      <w:pPr>
        <w:pStyle w:val="Compact"/>
        <w:numPr>
          <w:ilvl w:val="0"/>
          <w:numId w:val="1002"/>
        </w:numPr>
      </w:pPr>
      <w:r>
        <w:t xml:space="preserve">Adjusted free cash flow midpoint of</w:t>
      </w:r>
      <w:r>
        <w:t xml:space="preserve"> </w:t>
      </w:r>
      <w:r>
        <w:rPr>
          <w:b/>
          <w:bCs/>
        </w:rPr>
        <w:t xml:space="preserve">$2.2 billion</w:t>
      </w:r>
      <w:r>
        <w:t xml:space="preserve"> </w:t>
      </w:r>
      <w:r>
        <w:t xml:space="preserve">(+17% y/y)</w:t>
      </w:r>
    </w:p>
    <w:p>
      <w:pPr>
        <w:pStyle w:val="Compact"/>
        <w:numPr>
          <w:ilvl w:val="0"/>
          <w:numId w:val="1002"/>
        </w:numPr>
      </w:pPr>
      <w:r>
        <w:t xml:space="preserve">Regional organic growth expectations:</w:t>
      </w:r>
      <w:r>
        <w:t xml:space="preserve"> </w:t>
      </w:r>
      <w:r>
        <w:rPr>
          <w:b/>
          <w:bCs/>
        </w:rPr>
        <w:t xml:space="preserve">high-30s% Americas, mid-20s% APAC, flat EMEA</w:t>
      </w:r>
    </w:p>
    <w:bookmarkEnd w:id="10"/>
    <w:bookmarkStart w:id="11" w:name="Xaef221aaad732c6d49c85b538c7210226d6a6fd"/>
    <w:p>
      <w:pPr>
        <w:pStyle w:val="Heading2"/>
      </w:pPr>
      <w:r>
        <w:t xml:space="preserve">3. Key Themes to Watch on the Call</w:t>
      </w:r>
    </w:p>
    <w:p>
      <w:pPr>
        <w:pStyle w:val="FirstParagraph"/>
      </w:pPr>
      <w:r>
        <w:rPr>
          <w:b/>
          <w:bCs/>
        </w:rPr>
        <w:t xml:space="preserve">EMEA recovery trajectory.</w:t>
      </w:r>
      <w:r>
        <w:t xml:space="preserve"> </w:t>
      </w:r>
      <w:r>
        <w:t xml:space="preserve">EMEA sales fell 29% organically in Q1 — described by management as a lagged effect of soft 2025 orders — but Vertiv called this a "coiled spring" and guided to a return to EMEA growth in the second half, citing an improving order pipeline and projects like a Sweden AI data center using Nvidia's Vera Rubin GPUs. Watch for confirmation that EMEA bookings/pipeline momentum is translating into the promised H2 inflection; any slippage here would be a red flag given it's embedded in full-year guidance.</w:t>
      </w:r>
    </w:p>
    <w:p>
      <w:pPr>
        <w:pStyle w:val="BodyText"/>
      </w:pPr>
      <w:r>
        <w:rPr>
          <w:b/>
          <w:bCs/>
        </w:rPr>
        <w:t xml:space="preserve">Orders and backlog visibility.</w:t>
      </w:r>
      <w:r>
        <w:t xml:space="preserve"> </w:t>
      </w:r>
      <w:r>
        <w:t xml:space="preserve">Vertiv doesn't disclose absolute order figures, but guided to another year of orders growth in 2026, with broad-based pipeline expansion across regions and technologies. Backlog duration was described as "a little bit more elongated" than usual, giving visibility well into 2027. Investors will want fresh qualitative commentary on order momentum, especially given the market's nervousness about the durability of hyperscaler AI capex.</w:t>
      </w:r>
    </w:p>
    <w:p>
      <w:pPr>
        <w:pStyle w:val="BodyText"/>
      </w:pPr>
      <w:r>
        <w:rPr>
          <w:b/>
          <w:bCs/>
        </w:rPr>
        <w:t xml:space="preserve">Margin cadence and capacity investment.</w:t>
      </w:r>
      <w:r>
        <w:t xml:space="preserve"> </w:t>
      </w:r>
      <w:r>
        <w:t xml:space="preserve">Q2 guidance implies a step-down in sequential incremental margins versus the ~30-35% full-year target as new capacity comes online; management should be pressed on whether this ramp is tracking to plan and how quickly it reverses in H2. Tariff mitigation (Section 122/232 actions) and price-cost dynamics remain a swing factor, though management said it was already fully offsetting tariff costs by the end of Q1.</w:t>
      </w:r>
    </w:p>
    <w:p>
      <w:pPr>
        <w:pStyle w:val="BodyText"/>
      </w:pPr>
      <w:r>
        <w:rPr>
          <w:b/>
          <w:bCs/>
        </w:rPr>
        <w:t xml:space="preserve">Capital deployment and M&amp;A.</w:t>
      </w:r>
      <w:r>
        <w:t xml:space="preserve"> </w:t>
      </w:r>
      <w:r>
        <w:t xml:space="preserve">Vertiv closed a run of bolt-on, technology-focused acquisitions this year — PurgeRite (fluid/liquid-cooling services), ThermoKey (heat rejection/dry coolers for EMEA, completed June 12), and BMarko Structures (structural fabrication for converged infrastructure) — funded off a very light balance sheet (0.2x net leverage). Expect continued M&amp;A optionality commentary, with management signaling willingness to "cut bigger checks" when strategic value warrants it.</w:t>
      </w:r>
    </w:p>
    <w:p>
      <w:pPr>
        <w:pStyle w:val="BodyText"/>
      </w:pPr>
      <w:r>
        <w:rPr>
          <w:b/>
          <w:bCs/>
        </w:rPr>
        <w:t xml:space="preserve">Technology roadmap / 800-volt DC transition.</w:t>
      </w:r>
      <w:r>
        <w:t xml:space="preserve"> </w:t>
      </w:r>
      <w:r>
        <w:t xml:space="preserve">At the May Investor Day, Vertiv laid out a multi-architecture power roadmap (traditional AC/UPS, new medium-voltage BESS-UPS, and 800-volt DC power centers for next-gen GPU racks), with 800V DC products slated for launch by year-end 2026 and a commercialization ramp through 2027. Thermal architecture is similarly evolving (CoolLoop Trim Coolers, higher fluid operating temperatures, air/liquid coexistence). None of this affects 2026 numbers materially, but investors will listen for any change in customer engagement/design-win commentary given competitive intensity in liquid cooling and power.</w:t>
      </w:r>
    </w:p>
    <w:p>
      <w:pPr>
        <w:pStyle w:val="BodyText"/>
      </w:pPr>
      <w:r>
        <w:rPr>
          <w:b/>
          <w:bCs/>
        </w:rPr>
        <w:t xml:space="preserve">Services mix.</w:t>
      </w:r>
      <w:r>
        <w:t xml:space="preserve"> </w:t>
      </w:r>
      <w:r>
        <w:t xml:space="preserve">Services growth has been accelerating alongside products, helped by the PurgeRite acquisition; management has characterized incremental margins on services as comparable to the company's overall 30-35% incremental margin framework, pushing back on concerns that labor-heavy services dilute margins as they scale.</w:t>
      </w:r>
    </w:p>
    <w:bookmarkEnd w:id="11"/>
    <w:bookmarkStart w:id="12" w:name="Xd99cc65a8bd872ee236121c548c169b7a32b88b"/>
    <w:p>
      <w:pPr>
        <w:pStyle w:val="Heading2"/>
      </w:pPr>
      <w:r>
        <w:t xml:space="preserve">4. Macro/Sentiment Risk</w:t>
      </w:r>
    </w:p>
    <w:p>
      <w:pPr>
        <w:pStyle w:val="FirstParagraph"/>
      </w:pPr>
      <w:r>
        <w:t xml:space="preserve">The single biggest wildcard for the stock reaction is not likely to be Vertiv's own numbers but how the print is read against a jittery AI-capex tape. Recent sessions have seen sharp swings in AI-supply-chain names (Super Micro Computer, Seagate, Teradyne, SK Hynix, ASML) on both hyperscaler capex optimism and fears of overbuild/frothy valuations. Vertiv, whose revenue is still heavily concentrated in hyperscale, colocation and "neocloud" data-center customers, is highly correlated to this sentiment swing even though its own backlog, pricing and margin trends have shown no signs of deterioration.</w:t>
      </w:r>
    </w:p>
    <w:bookmarkEnd w:id="12"/>
    <w:bookmarkStart w:id="13" w:name="X1dac5d2f16b90bede4e2cc816414412e73d3e91"/>
    <w:p>
      <w:pPr>
        <w:pStyle w:val="Heading2"/>
      </w:pPr>
      <w:r>
        <w:t xml:space="preserve">5. Bottom Line for Investors</w:t>
      </w:r>
    </w:p>
    <w:p>
      <w:pPr>
        <w:pStyle w:val="FirstParagraph"/>
      </w:pPr>
      <w:r>
        <w:t xml:space="preserve">Fundamentally, Vertiv goes into Q2 with a strong track record of beat-and-raise quarters, a nearly debt-free balance sheet, an actively deployed M&amp;A program, and a full-year guide that already embeds a second-half acceleration (EMEA recovery, capacity coming online, orders growth). The key questions are less about the current quarter — which the Street expects to come in slightly ahead of management's own guidance — and more about (1) whether EMEA's promised second-half inflection is on track, (2) whether margin ramps from new capacity investment are proceeding as planned, and (3) whether management's commentary on order pipeline and 2027 visibility can push back against the broader market narrative that AI-infrastructure capex is at risk of a pause or digestion phase. Given the stock's sharp pullback from its May highs, a "clean" beat-and-raise with reaffirmed confidence in the demand environment could set up for a relief rally, while any hint of order softness, EMEA delay, or margin disappointment would likely be punished harder than usual given the fragile sentiment backdrop.</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2026-07-29T01:08:48Z</dcterms:created>
  <dcterms:modified xsi:type="dcterms:W3CDTF">2026-07-29T01:08:48Z</dcterms:modified>
</cp:coreProperties>
</file>

<file path=docProps/custom.xml><?xml version="1.0" encoding="utf-8"?>
<Properties xmlns="http://schemas.openxmlformats.org/officeDocument/2006/custom-properties" xmlns:vt="http://schemas.openxmlformats.org/officeDocument/2006/docPropsVTypes"/>
</file>