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vertiv-vrt-2026-q2-earnings-preview"/>
    <w:p>
      <w:pPr>
        <w:pStyle w:val="Heading1"/>
      </w:pPr>
      <w:r>
        <w:t xml:space="preserve">Vertiv (VRT) 2026 Q2 Earnings Preview</w:t>
      </w:r>
    </w:p>
    <w:p>
      <w:pPr>
        <w:pStyle w:val="BlockText"/>
      </w:pPr>
      <w:r>
        <w:rPr>
          <w:b/>
          <w:bCs/>
        </w:rPr>
        <w:t xml:space="preserve">Timing note:</w:t>
      </w:r>
      <w:r>
        <w:t xml:space="preserve"> </w:t>
      </w:r>
      <w:r>
        <w:t xml:space="preserve">Vertiv is scheduled to report</w:t>
      </w:r>
      <w:r>
        <w:t xml:space="preserve"> </w:t>
      </w:r>
      <w:r>
        <w:rPr>
          <w:b/>
          <w:bCs/>
        </w:rPr>
        <w:t xml:space="preserve">before the market opens today, Wednesday, July 29, 2026</w:t>
      </w:r>
      <w:r>
        <w:t xml:space="preserve">, with its earnings call at</w:t>
      </w:r>
      <w:r>
        <w:t xml:space="preserve"> </w:t>
      </w:r>
      <w:r>
        <w:rPr>
          <w:b/>
          <w:bCs/>
        </w:rPr>
        <w:t xml:space="preserve">11:00 a.m. ET</w:t>
      </w:r>
      <w:r>
        <w:t xml:space="preserve">. The date supplied is therefore today, not tomorrow.</w:t>
      </w:r>
    </w:p>
    <w:bookmarkStart w:id="9" w:name="executive-view"/>
    <w:p>
      <w:pPr>
        <w:pStyle w:val="Heading2"/>
      </w:pPr>
      <w:r>
        <w:t xml:space="preserve">Executive view</w:t>
      </w:r>
    </w:p>
    <w:p>
      <w:pPr>
        <w:pStyle w:val="FirstParagraph"/>
      </w:pPr>
      <w:r>
        <w:t xml:space="preserve">Vertiv enters Q2 with exceptionally strong AI-data-center demand, rapidly expanding margins, a large backlog and a nearly unlevered balance sheet. The central question is no longer whether the business is growing—it is whether Vertiv can continue exceeding already elevated expectations while adding capacity fast enough to support a substantial second-half ramp.</w:t>
      </w:r>
    </w:p>
    <w:p>
      <w:pPr>
        <w:pStyle w:val="BodyText"/>
      </w:pPr>
      <w:r>
        <w:t xml:space="preserve">The Street is positioned above management’s Q2 guidance, and the stock still trades at roughly</w:t>
      </w:r>
      <w:r>
        <w:t xml:space="preserve"> </w:t>
      </w:r>
      <w:r>
        <w:rPr>
          <w:b/>
          <w:bCs/>
        </w:rPr>
        <w:t xml:space="preserve">42.5x the midpoint of 2026 adjusted EPS guidance</w:t>
      </w:r>
      <w:r>
        <w:t xml:space="preserve">, even after falling about 28% from its May high. Consequently, a simple beat may not be sufficient. Investors will likely want:</w:t>
      </w:r>
    </w:p>
    <w:p>
      <w:pPr>
        <w:pStyle w:val="Compact"/>
        <w:numPr>
          <w:ilvl w:val="0"/>
          <w:numId w:val="1001"/>
        </w:numPr>
      </w:pPr>
      <w:r>
        <w:t xml:space="preserve">Results above the high end of Q2 guidance.</w:t>
      </w:r>
    </w:p>
    <w:p>
      <w:pPr>
        <w:pStyle w:val="Compact"/>
        <w:numPr>
          <w:ilvl w:val="0"/>
          <w:numId w:val="1001"/>
        </w:numPr>
      </w:pPr>
      <w:r>
        <w:t xml:space="preserve">Another full-year guidance increase.</w:t>
      </w:r>
    </w:p>
    <w:p>
      <w:pPr>
        <w:pStyle w:val="Compact"/>
        <w:numPr>
          <w:ilvl w:val="0"/>
          <w:numId w:val="1001"/>
        </w:numPr>
      </w:pPr>
      <w:r>
        <w:t xml:space="preserve">Continued strength in orders and pipeline activity.</w:t>
      </w:r>
    </w:p>
    <w:p>
      <w:pPr>
        <w:pStyle w:val="Compact"/>
        <w:numPr>
          <w:ilvl w:val="0"/>
          <w:numId w:val="1001"/>
        </w:numPr>
      </w:pPr>
      <w:r>
        <w:t xml:space="preserve">Evidence that capacity additions are translating into revenue without disrupting margins.</w:t>
      </w:r>
    </w:p>
    <w:p>
      <w:pPr>
        <w:pStyle w:val="Compact"/>
        <w:numPr>
          <w:ilvl w:val="0"/>
          <w:numId w:val="1001"/>
        </w:numPr>
      </w:pPr>
      <w:r>
        <w:t xml:space="preserve">Confirmation that EMEA will return to growth in the second half.</w:t>
      </w:r>
    </w:p>
    <w:bookmarkEnd w:id="9"/>
    <w:bookmarkStart w:id="10" w:name="the-numbers-to-know"/>
    <w:p>
      <w:pPr>
        <w:pStyle w:val="Heading2"/>
      </w:pPr>
      <w:r>
        <w:t xml:space="preserve">The numbers to know</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management guidance</w:t>
            </w:r>
          </w:p>
        </w:tc>
        <w:tc>
          <w:tcPr/>
          <w:p>
            <w:pPr>
              <w:pStyle w:val="Compact"/>
              <w:jc w:val="right"/>
            </w:pPr>
            <w:r>
              <w:t xml:space="preserve">Street expectation</w:t>
            </w:r>
          </w:p>
        </w:tc>
      </w:tr>
      <w:tr>
        <w:tc>
          <w:tcPr/>
          <w:p>
            <w:pPr>
              <w:pStyle w:val="Compact"/>
            </w:pPr>
            <w:r>
              <w:t xml:space="preserve">Revenue</w:t>
            </w:r>
          </w:p>
        </w:tc>
        <w:tc>
          <w:tcPr/>
          <w:p>
            <w:pPr>
              <w:pStyle w:val="Compact"/>
              <w:jc w:val="right"/>
            </w:pPr>
            <m:oMath>
              <m:r>
                <m:t>3.25</m:t>
              </m:r>
              <m:r>
                <m:t>B</m:t>
              </m:r>
              <m:r>
                <m:rPr>
                  <m:sty m:val="p"/>
                </m:rPr>
                <m:t>–</m:t>
              </m:r>
            </m:oMath>
            <w:r>
              <w:t xml:space="preserve">3.45B</w:t>
            </w:r>
          </w:p>
        </w:tc>
        <w:tc>
          <w:tcPr/>
          <w:p>
            <w:pPr>
              <w:pStyle w:val="Compact"/>
              <w:jc w:val="right"/>
            </w:pPr>
            <w:r>
              <w:rPr>
                <w:b/>
                <w:bCs/>
              </w:rPr>
              <w:t xml:space="preserve">~$3.39B</w:t>
            </w:r>
          </w:p>
        </w:tc>
      </w:tr>
      <w:tr>
        <w:tc>
          <w:tcPr/>
          <w:p>
            <w:pPr>
              <w:pStyle w:val="Compact"/>
            </w:pPr>
            <w:r>
              <w:t xml:space="preserve">Organic growth</w:t>
            </w:r>
          </w:p>
        </w:tc>
        <w:tc>
          <w:tcPr/>
          <w:p>
            <w:pPr>
              <w:pStyle w:val="Compact"/>
              <w:jc w:val="right"/>
            </w:pPr>
            <w:r>
              <w:t xml:space="preserve">20%–24%</w:t>
            </w:r>
          </w:p>
        </w:tc>
        <w:tc>
          <w:tcPr/>
          <w:p>
            <w:pPr>
              <w:pStyle w:val="Compact"/>
              <w:jc w:val="right"/>
            </w:pPr>
            <w:r>
              <w:t xml:space="preserve">Not specified</w:t>
            </w:r>
          </w:p>
        </w:tc>
      </w:tr>
      <w:tr>
        <w:tc>
          <w:tcPr/>
          <w:p>
            <w:pPr>
              <w:pStyle w:val="Compact"/>
            </w:pPr>
            <w:r>
              <w:t xml:space="preserve">Adjusted operating profit</w:t>
            </w:r>
          </w:p>
        </w:tc>
        <w:tc>
          <w:tcPr/>
          <w:p>
            <w:pPr>
              <w:pStyle w:val="Compact"/>
              <w:jc w:val="right"/>
            </w:pPr>
            <m:oMath>
              <m:r>
                <m:t>690</m:t>
              </m:r>
              <m:r>
                <m:t>M</m:t>
              </m:r>
              <m:r>
                <m:rPr>
                  <m:sty m:val="p"/>
                </m:rPr>
                <m:t>–</m:t>
              </m:r>
            </m:oMath>
            <w:r>
              <w:t xml:space="preserve">730M</w:t>
            </w:r>
          </w:p>
        </w:tc>
        <w:tc>
          <w:tcPr/>
          <w:p>
            <w:pPr>
              <w:pStyle w:val="Compact"/>
              <w:jc w:val="right"/>
            </w:pPr>
            <w:r>
              <w:rPr>
                <w:b/>
                <w:bCs/>
              </w:rPr>
              <w:t xml:space="preserve">~$732M implied</w:t>
            </w:r>
          </w:p>
        </w:tc>
      </w:tr>
      <w:tr>
        <w:tc>
          <w:tcPr/>
          <w:p>
            <w:pPr>
              <w:pStyle w:val="Compact"/>
            </w:pPr>
            <w:r>
              <w:t xml:space="preserve">Adjusted operating margin</w:t>
            </w:r>
          </w:p>
        </w:tc>
        <w:tc>
          <w:tcPr/>
          <w:p>
            <w:pPr>
              <w:pStyle w:val="Compact"/>
              <w:jc w:val="right"/>
            </w:pPr>
            <w:r>
              <w:t xml:space="preserve">20.7%–21.7%</w:t>
            </w:r>
          </w:p>
        </w:tc>
        <w:tc>
          <w:tcPr/>
          <w:p>
            <w:pPr>
              <w:pStyle w:val="Compact"/>
              <w:jc w:val="right"/>
            </w:pPr>
            <w:r>
              <w:rPr>
                <w:b/>
                <w:bCs/>
              </w:rPr>
              <w:t xml:space="preserve">~21.6%</w:t>
            </w:r>
          </w:p>
        </w:tc>
      </w:tr>
      <w:tr>
        <w:tc>
          <w:tcPr/>
          <w:p>
            <w:pPr>
              <w:pStyle w:val="Compact"/>
            </w:pPr>
            <w:r>
              <w:t xml:space="preserve">Adjusted EPS</w:t>
            </w:r>
          </w:p>
        </w:tc>
        <w:tc>
          <w:tcPr/>
          <w:p>
            <w:pPr>
              <w:pStyle w:val="Compact"/>
              <w:jc w:val="right"/>
            </w:pPr>
            <m:oMath>
              <m:r>
                <m:t>1.37</m:t>
              </m:r>
              <m:r>
                <m:rPr>
                  <m:sty m:val="p"/>
                </m:rPr>
                <m:t>–</m:t>
              </m:r>
            </m:oMath>
            <w:r>
              <w:t xml:space="preserve">1.43</w:t>
            </w:r>
          </w:p>
        </w:tc>
        <w:tc>
          <w:tcPr/>
          <w:p>
            <w:pPr>
              <w:pStyle w:val="Compact"/>
              <w:jc w:val="right"/>
            </w:pPr>
            <w:r>
              <w:rPr>
                <w:b/>
                <w:bCs/>
              </w:rPr>
              <w:t xml:space="preserve">~$1.43</w:t>
            </w:r>
          </w:p>
        </w:tc>
      </w:tr>
    </w:tbl>
    <w:p>
      <w:pPr>
        <w:pStyle w:val="BodyText"/>
      </w:pPr>
      <w:r>
        <w:t xml:space="preserve">Consensus is therefore approximately:</w:t>
      </w:r>
    </w:p>
    <w:p>
      <w:pPr>
        <w:pStyle w:val="Compact"/>
        <w:numPr>
          <w:ilvl w:val="0"/>
          <w:numId w:val="1002"/>
        </w:numPr>
      </w:pPr>
      <w:r>
        <w:rPr>
          <w:b/>
          <w:bCs/>
        </w:rPr>
        <w:t xml:space="preserve">$40 million above</w:t>
      </w:r>
      <w:r>
        <w:t xml:space="preserve"> </w:t>
      </w:r>
      <w:r>
        <w:t xml:space="preserve">management’s revenue midpoint.</w:t>
      </w:r>
    </w:p>
    <w:p>
      <w:pPr>
        <w:pStyle w:val="Compact"/>
        <w:numPr>
          <w:ilvl w:val="0"/>
          <w:numId w:val="1002"/>
        </w:numPr>
      </w:pPr>
      <w:r>
        <w:rPr>
          <w:b/>
          <w:bCs/>
        </w:rPr>
        <w:t xml:space="preserve">40 basis points above</w:t>
      </w:r>
      <w:r>
        <w:t xml:space="preserve"> </w:t>
      </w:r>
      <w:r>
        <w:t xml:space="preserve">the margin midpoint.</w:t>
      </w:r>
    </w:p>
    <w:p>
      <w:pPr>
        <w:pStyle w:val="Compact"/>
        <w:numPr>
          <w:ilvl w:val="0"/>
          <w:numId w:val="1002"/>
        </w:numPr>
      </w:pPr>
      <w:r>
        <w:t xml:space="preserve">At the</w:t>
      </w:r>
      <w:r>
        <w:t xml:space="preserve"> </w:t>
      </w:r>
      <w:r>
        <w:rPr>
          <w:b/>
          <w:bCs/>
        </w:rPr>
        <w:t xml:space="preserve">top end</w:t>
      </w:r>
      <w:r>
        <w:t xml:space="preserve"> </w:t>
      </w:r>
      <w:r>
        <w:t xml:space="preserve">of adjusted EPS guidance.</w:t>
      </w:r>
    </w:p>
    <w:p>
      <w:pPr>
        <w:pStyle w:val="FirstParagraph"/>
      </w:pPr>
      <w:r>
        <w:t xml:space="preserve">That is an important setup: results near the midpoint of company guidance would probably be viewed as disappointing, despite representing very strong year-over-year growth.</w:t>
      </w:r>
    </w:p>
    <w:bookmarkEnd w:id="10"/>
    <w:bookmarkStart w:id="11" w:name="what-q1-established"/>
    <w:p>
      <w:pPr>
        <w:pStyle w:val="Heading2"/>
      </w:pPr>
      <w:r>
        <w:t xml:space="preserve">What Q1 established</w:t>
      </w:r>
    </w:p>
    <w:p>
      <w:pPr>
        <w:pStyle w:val="FirstParagraph"/>
      </w:pPr>
      <w:r>
        <w:t xml:space="preserve">Vertiv’s first quarter materially raised the earnings bar:</w:t>
      </w:r>
    </w:p>
    <w:p>
      <w:pPr>
        <w:pStyle w:val="Compact"/>
        <w:numPr>
          <w:ilvl w:val="0"/>
          <w:numId w:val="1003"/>
        </w:numPr>
      </w:pPr>
      <w:r>
        <w:t xml:space="preserve">Revenue increased</w:t>
      </w:r>
      <w:r>
        <w:t xml:space="preserve"> </w:t>
      </w:r>
      <w:r>
        <w:rPr>
          <w:b/>
          <w:bCs/>
        </w:rPr>
        <w:t xml:space="preserve">30%</w:t>
      </w:r>
      <w:r>
        <w:t xml:space="preserve"> </w:t>
      </w:r>
      <w:r>
        <w:t xml:space="preserve">to $2.65 billion.</w:t>
      </w:r>
    </w:p>
    <w:p>
      <w:pPr>
        <w:pStyle w:val="Compact"/>
        <w:numPr>
          <w:ilvl w:val="0"/>
          <w:numId w:val="1003"/>
        </w:numPr>
      </w:pPr>
      <w:r>
        <w:t xml:space="preserve">Organic growth was</w:t>
      </w:r>
      <w:r>
        <w:t xml:space="preserve"> </w:t>
      </w:r>
      <w:r>
        <w:rPr>
          <w:b/>
          <w:bCs/>
        </w:rPr>
        <w:t xml:space="preserve">23%</w:t>
      </w:r>
      <w:r>
        <w:t xml:space="preserve">.</w:t>
      </w:r>
    </w:p>
    <w:p>
      <w:pPr>
        <w:pStyle w:val="Compact"/>
        <w:numPr>
          <w:ilvl w:val="0"/>
          <w:numId w:val="1003"/>
        </w:numPr>
      </w:pPr>
      <w:r>
        <w:t xml:space="preserve">Adjusted operating profit rose</w:t>
      </w:r>
      <w:r>
        <w:t xml:space="preserve"> </w:t>
      </w:r>
      <w:r>
        <w:rPr>
          <w:b/>
          <w:bCs/>
        </w:rPr>
        <w:t xml:space="preserve">64%</w:t>
      </w:r>
      <w:r>
        <w:t xml:space="preserve"> </w:t>
      </w:r>
      <w:r>
        <w:t xml:space="preserve">to $551 million.</w:t>
      </w:r>
    </w:p>
    <w:p>
      <w:pPr>
        <w:pStyle w:val="Compact"/>
        <w:numPr>
          <w:ilvl w:val="0"/>
          <w:numId w:val="1003"/>
        </w:numPr>
      </w:pPr>
      <w:r>
        <w:t xml:space="preserve">Adjusted operating margin expanded</w:t>
      </w:r>
      <w:r>
        <w:t xml:space="preserve"> </w:t>
      </w:r>
      <w:r>
        <w:rPr>
          <w:b/>
          <w:bCs/>
        </w:rPr>
        <w:t xml:space="preserve">430 basis points</w:t>
      </w:r>
      <w:r>
        <w:t xml:space="preserve"> </w:t>
      </w:r>
      <w:r>
        <w:t xml:space="preserve">to 20.8%.</w:t>
      </w:r>
    </w:p>
    <w:p>
      <w:pPr>
        <w:pStyle w:val="Compact"/>
        <w:numPr>
          <w:ilvl w:val="0"/>
          <w:numId w:val="1003"/>
        </w:numPr>
      </w:pPr>
      <w:r>
        <w:t xml:space="preserve">Adjusted EPS rose</w:t>
      </w:r>
      <w:r>
        <w:t xml:space="preserve"> </w:t>
      </w:r>
      <w:r>
        <w:rPr>
          <w:b/>
          <w:bCs/>
        </w:rPr>
        <w:t xml:space="preserve">83%</w:t>
      </w:r>
      <w:r>
        <w:t xml:space="preserve"> </w:t>
      </w:r>
      <w:r>
        <w:t xml:space="preserve">to $1.17, beating management’s guidance by $0.19.</w:t>
      </w:r>
    </w:p>
    <w:p>
      <w:pPr>
        <w:pStyle w:val="Compact"/>
        <w:numPr>
          <w:ilvl w:val="0"/>
          <w:numId w:val="1003"/>
        </w:numPr>
      </w:pPr>
      <w:r>
        <w:t xml:space="preserve">Adjusted free cash flow reached $653 million.</w:t>
      </w:r>
    </w:p>
    <w:p>
      <w:pPr>
        <w:pStyle w:val="Compact"/>
        <w:numPr>
          <w:ilvl w:val="0"/>
          <w:numId w:val="1003"/>
        </w:numPr>
      </w:pPr>
      <w:r>
        <w:t xml:space="preserve">Net leverage ended at approximately</w:t>
      </w:r>
      <w:r>
        <w:t xml:space="preserve"> </w:t>
      </w:r>
      <w:r>
        <w:rPr>
          <w:b/>
          <w:bCs/>
        </w:rPr>
        <w:t xml:space="preserve">0.2x</w:t>
      </w:r>
      <w:r>
        <w:t xml:space="preserve">.</w:t>
      </w:r>
    </w:p>
    <w:p>
      <w:pPr>
        <w:pStyle w:val="FirstParagraph"/>
      </w:pPr>
      <w:r>
        <w:t xml:space="preserve">The regional performance was uneven:</w:t>
      </w:r>
    </w:p>
    <w:p>
      <w:pPr>
        <w:pStyle w:val="Compact"/>
        <w:numPr>
          <w:ilvl w:val="0"/>
          <w:numId w:val="1004"/>
        </w:numPr>
      </w:pPr>
      <w:r>
        <w:rPr>
          <w:b/>
          <w:bCs/>
        </w:rPr>
        <w:t xml:space="preserve">Americas:</w:t>
      </w:r>
      <w:r>
        <w:t xml:space="preserve"> </w:t>
      </w:r>
      <w:r>
        <w:t xml:space="preserve">44% organic growth and a 27.0% segment margin.</w:t>
      </w:r>
    </w:p>
    <w:p>
      <w:pPr>
        <w:pStyle w:val="Compact"/>
        <w:numPr>
          <w:ilvl w:val="0"/>
          <w:numId w:val="1004"/>
        </w:numPr>
      </w:pPr>
      <w:r>
        <w:rPr>
          <w:b/>
          <w:bCs/>
        </w:rPr>
        <w:t xml:space="preserve">APAC:</w:t>
      </w:r>
      <w:r>
        <w:t xml:space="preserve"> </w:t>
      </w:r>
      <w:r>
        <w:t xml:space="preserve">12% organic growth.</w:t>
      </w:r>
    </w:p>
    <w:p>
      <w:pPr>
        <w:pStyle w:val="Compact"/>
        <w:numPr>
          <w:ilvl w:val="0"/>
          <w:numId w:val="1004"/>
        </w:numPr>
      </w:pPr>
      <w:r>
        <w:rPr>
          <w:b/>
          <w:bCs/>
        </w:rPr>
        <w:t xml:space="preserve">EMEA:</w:t>
      </w:r>
      <w:r>
        <w:t xml:space="preserve"> </w:t>
      </w:r>
      <w:r>
        <w:t xml:space="preserve">down 29% organically.</w:t>
      </w:r>
    </w:p>
    <w:p>
      <w:pPr>
        <w:pStyle w:val="FirstParagraph"/>
      </w:pPr>
      <w:r>
        <w:t xml:space="preserve">The Americas is carrying the near-term growth story, while EMEA represents both the largest execution risk and one of the clearest potential sources of upside.</w:t>
      </w:r>
    </w:p>
    <w:bookmarkEnd w:id="11"/>
    <w:bookmarkStart w:id="12" w:name="Xb8f83d322215e53c566cd11e1bad0e54bdbc36f"/>
    <w:p>
      <w:pPr>
        <w:pStyle w:val="Heading2"/>
      </w:pPr>
      <w:r>
        <w:t xml:space="preserve">The report is principally about full-year guidance</w:t>
      </w:r>
    </w:p>
    <w:p>
      <w:pPr>
        <w:pStyle w:val="FirstParagraph"/>
      </w:pPr>
      <w:r>
        <w:t xml:space="preserve">Vertiv currently guides to:</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2026 metric</w:t>
            </w:r>
          </w:p>
        </w:tc>
        <w:tc>
          <w:tcPr/>
          <w:p>
            <w:pPr>
              <w:pStyle w:val="Compact"/>
              <w:jc w:val="right"/>
            </w:pPr>
            <w:r>
              <w:t xml:space="preserve">Guidance</w:t>
            </w:r>
          </w:p>
        </w:tc>
      </w:tr>
      <w:tr>
        <w:tc>
          <w:tcPr/>
          <w:p>
            <w:pPr>
              <w:pStyle w:val="Compact"/>
            </w:pPr>
            <w:r>
              <w:t xml:space="preserve">Revenue</w:t>
            </w:r>
          </w:p>
        </w:tc>
        <w:tc>
          <w:tcPr/>
          <w:p>
            <w:pPr>
              <w:pStyle w:val="Compact"/>
              <w:jc w:val="right"/>
            </w:pPr>
            <m:oMath>
              <m:r>
                <m:t>13.5</m:t>
              </m:r>
              <m:r>
                <m:t>B</m:t>
              </m:r>
              <m:r>
                <m:rPr>
                  <m:sty m:val="p"/>
                </m:rPr>
                <m:t>–</m:t>
              </m:r>
            </m:oMath>
            <w:r>
              <w:t xml:space="preserve">14.0B</w:t>
            </w:r>
          </w:p>
        </w:tc>
      </w:tr>
      <w:tr>
        <w:tc>
          <w:tcPr/>
          <w:p>
            <w:pPr>
              <w:pStyle w:val="Compact"/>
            </w:pPr>
            <w:r>
              <w:t xml:space="preserve">Organic growth</w:t>
            </w:r>
          </w:p>
        </w:tc>
        <w:tc>
          <w:tcPr/>
          <w:p>
            <w:pPr>
              <w:pStyle w:val="Compact"/>
              <w:jc w:val="right"/>
            </w:pPr>
            <w:r>
              <w:t xml:space="preserve">29%–31%</w:t>
            </w:r>
          </w:p>
        </w:tc>
      </w:tr>
      <w:tr>
        <w:tc>
          <w:tcPr/>
          <w:p>
            <w:pPr>
              <w:pStyle w:val="Compact"/>
            </w:pPr>
            <w:r>
              <w:t xml:space="preserve">Adjusted operating profit</w:t>
            </w:r>
          </w:p>
        </w:tc>
        <w:tc>
          <w:tcPr/>
          <w:p>
            <w:pPr>
              <w:pStyle w:val="Compact"/>
              <w:jc w:val="right"/>
            </w:pPr>
            <m:oMath>
              <m:r>
                <m:t>3.14</m:t>
              </m:r>
              <m:r>
                <m:t>B</m:t>
              </m:r>
              <m:r>
                <m:rPr>
                  <m:sty m:val="p"/>
                </m:rPr>
                <m:t>–</m:t>
              </m:r>
            </m:oMath>
            <w:r>
              <w:t xml:space="preserve">3.26B</w:t>
            </w:r>
          </w:p>
        </w:tc>
      </w:tr>
      <w:tr>
        <w:tc>
          <w:tcPr/>
          <w:p>
            <w:pPr>
              <w:pStyle w:val="Compact"/>
            </w:pPr>
            <w:r>
              <w:t xml:space="preserve">Adjusted operating margin</w:t>
            </w:r>
          </w:p>
        </w:tc>
        <w:tc>
          <w:tcPr/>
          <w:p>
            <w:pPr>
              <w:pStyle w:val="Compact"/>
              <w:jc w:val="right"/>
            </w:pPr>
            <w:r>
              <w:t xml:space="preserve">22.8%–23.8%</w:t>
            </w:r>
          </w:p>
        </w:tc>
      </w:tr>
      <w:tr>
        <w:tc>
          <w:tcPr/>
          <w:p>
            <w:pPr>
              <w:pStyle w:val="Compact"/>
            </w:pPr>
            <w:r>
              <w:t xml:space="preserve">Adjusted EPS</w:t>
            </w:r>
          </w:p>
        </w:tc>
        <w:tc>
          <w:tcPr/>
          <w:p>
            <w:pPr>
              <w:pStyle w:val="Compact"/>
              <w:jc w:val="right"/>
            </w:pPr>
            <m:oMath>
              <m:r>
                <m:t>6.30</m:t>
              </m:r>
              <m:r>
                <m:rPr>
                  <m:sty m:val="p"/>
                </m:rPr>
                <m:t>–</m:t>
              </m:r>
            </m:oMath>
            <w:r>
              <w:t xml:space="preserve">6.40</w:t>
            </w:r>
          </w:p>
        </w:tc>
      </w:tr>
      <w:tr>
        <w:tc>
          <w:tcPr/>
          <w:p>
            <w:pPr>
              <w:pStyle w:val="Compact"/>
            </w:pPr>
            <w:r>
              <w:t xml:space="preserve">Adjusted free cash flow</w:t>
            </w:r>
          </w:p>
        </w:tc>
        <w:tc>
          <w:tcPr/>
          <w:p>
            <w:pPr>
              <w:pStyle w:val="Compact"/>
              <w:jc w:val="right"/>
            </w:pPr>
            <m:oMath>
              <m:r>
                <m:t>2.1</m:t>
              </m:r>
              <m:r>
                <m:t>B</m:t>
              </m:r>
              <m:r>
                <m:rPr>
                  <m:sty m:val="p"/>
                </m:rPr>
                <m:t>–</m:t>
              </m:r>
            </m:oMath>
            <w:r>
              <w:t xml:space="preserve">2.3B</w:t>
            </w:r>
          </w:p>
        </w:tc>
      </w:tr>
    </w:tbl>
    <w:p>
      <w:pPr>
        <w:pStyle w:val="BodyText"/>
      </w:pPr>
      <w:r>
        <w:t xml:space="preserve">Using the midpoint of full-year guidance, Q1 actual results and the Q2 Street estimate, the current outlook would imply approximately:</w:t>
      </w:r>
    </w:p>
    <w:p>
      <w:pPr>
        <w:pStyle w:val="Compact"/>
        <w:numPr>
          <w:ilvl w:val="0"/>
          <w:numId w:val="1005"/>
        </w:numPr>
      </w:pPr>
      <w:r>
        <w:rPr>
          <w:b/>
          <w:bCs/>
        </w:rPr>
        <w:t xml:space="preserve">$7.71 billion of second-half revenue</w:t>
      </w:r>
    </w:p>
    <w:p>
      <w:pPr>
        <w:pStyle w:val="Compact"/>
        <w:numPr>
          <w:ilvl w:val="0"/>
          <w:numId w:val="1005"/>
        </w:numPr>
      </w:pPr>
      <w:r>
        <w:rPr>
          <w:b/>
          <w:bCs/>
        </w:rPr>
        <w:t xml:space="preserve">$1.92 billion of second-half adjusted operating profit</w:t>
      </w:r>
    </w:p>
    <w:p>
      <w:pPr>
        <w:pStyle w:val="Compact"/>
        <w:numPr>
          <w:ilvl w:val="0"/>
          <w:numId w:val="1005"/>
        </w:numPr>
      </w:pPr>
      <w:r>
        <w:t xml:space="preserve">A second-half adjusted operating margin of roughly</w:t>
      </w:r>
      <w:r>
        <w:t xml:space="preserve"> </w:t>
      </w:r>
      <w:r>
        <w:rPr>
          <w:b/>
          <w:bCs/>
        </w:rPr>
        <w:t xml:space="preserve">24.9%</w:t>
      </w:r>
    </w:p>
    <w:p>
      <w:pPr>
        <w:pStyle w:val="Compact"/>
        <w:numPr>
          <w:ilvl w:val="0"/>
          <w:numId w:val="1005"/>
        </w:numPr>
      </w:pPr>
      <w:r>
        <w:rPr>
          <w:b/>
          <w:bCs/>
        </w:rPr>
        <w:t xml:space="preserve">$3.75 of second-half adjusted EPS</w:t>
      </w:r>
    </w:p>
    <w:p>
      <w:pPr>
        <w:pStyle w:val="FirstParagraph"/>
      </w:pPr>
      <w:r>
        <w:t xml:space="preserve">In other words, existing guidance already assumes a meaningful second-half acceleration. Management previously attributed that ramp to capacity coming online, strong prior orders and improving growth in APAC and EMEA.</w:t>
      </w:r>
    </w:p>
    <w:p>
      <w:pPr>
        <w:pStyle w:val="BodyText"/>
      </w:pPr>
      <w:r>
        <w:t xml:space="preserve">This makes the composition of any guidance increase important. A revenue raise accompanied by unchanged profit guidance could indicate higher ramp costs or weaker mix. The strongest outcome would be increases to revenue, operating margin, EPS and free cash flow together.</w:t>
      </w:r>
    </w:p>
    <w:bookmarkEnd w:id="12"/>
    <w:bookmarkStart w:id="18" w:name="X94262e8222f0b074becb61c55b8920435172d82"/>
    <w:p>
      <w:pPr>
        <w:pStyle w:val="Heading2"/>
      </w:pPr>
      <w:r>
        <w:t xml:space="preserve">Five issues that should drive the reaction</w:t>
      </w:r>
    </w:p>
    <w:bookmarkStart w:id="13" w:name="X6c68a1282b77466b7ed9eec3fc566078a42ff92"/>
    <w:p>
      <w:pPr>
        <w:pStyle w:val="Heading3"/>
      </w:pPr>
      <w:r>
        <w:t xml:space="preserve">1. Orders, backlog and 2027 visibility</w:t>
      </w:r>
    </w:p>
    <w:p>
      <w:pPr>
        <w:pStyle w:val="FirstParagraph"/>
      </w:pPr>
      <w:r>
        <w:t xml:space="preserve">Vertiv does not regularly disclose a specific order figure, so investors must rely heavily on management’s qualitative language.</w:t>
      </w:r>
    </w:p>
    <w:p>
      <w:pPr>
        <w:pStyle w:val="BodyText"/>
      </w:pPr>
      <w:r>
        <w:t xml:space="preserve">At Q1, management said:</w:t>
      </w:r>
    </w:p>
    <w:p>
      <w:pPr>
        <w:pStyle w:val="Compact"/>
        <w:numPr>
          <w:ilvl w:val="0"/>
          <w:numId w:val="1006"/>
        </w:numPr>
      </w:pPr>
      <w:r>
        <w:t xml:space="preserve">Pipeline generation remained robust.</w:t>
      </w:r>
    </w:p>
    <w:p>
      <w:pPr>
        <w:pStyle w:val="Compact"/>
        <w:numPr>
          <w:ilvl w:val="0"/>
          <w:numId w:val="1006"/>
        </w:numPr>
      </w:pPr>
      <w:r>
        <w:t xml:space="preserve">Orders were expected to grow year over year in 2026.</w:t>
      </w:r>
    </w:p>
    <w:p>
      <w:pPr>
        <w:pStyle w:val="Compact"/>
        <w:numPr>
          <w:ilvl w:val="0"/>
          <w:numId w:val="1006"/>
        </w:numPr>
      </w:pPr>
      <w:r>
        <w:t xml:space="preserve">Demand strength was broad across technologies and regions.</w:t>
      </w:r>
    </w:p>
    <w:p>
      <w:pPr>
        <w:pStyle w:val="Compact"/>
        <w:numPr>
          <w:ilvl w:val="0"/>
          <w:numId w:val="1006"/>
        </w:numPr>
      </w:pPr>
      <w:r>
        <w:t xml:space="preserve">Backlog had become slightly more elongated.</w:t>
      </w:r>
    </w:p>
    <w:p>
      <w:pPr>
        <w:pStyle w:val="Compact"/>
        <w:numPr>
          <w:ilvl w:val="0"/>
          <w:numId w:val="1006"/>
        </w:numPr>
      </w:pPr>
      <w:r>
        <w:t xml:space="preserve">Large projects were frequently carrying requested delivery windows of 12–18 months, providing visibility into 2027.</w:t>
      </w:r>
    </w:p>
    <w:p>
      <w:pPr>
        <w:pStyle w:val="FirstParagraph"/>
      </w:pPr>
      <w:r>
        <w:t xml:space="preserve">The key is whether demand has remained strong despite the sharp increase in industry capacity commitments. Any discussion of project delays, customer concentration, changing delivery dates or lower pipeline conversion would be closely scrutinized.</w:t>
      </w:r>
    </w:p>
    <w:bookmarkEnd w:id="13"/>
    <w:bookmarkStart w:id="14" w:name="X4118896d8cc258ebe09d3115d726787035b36ec"/>
    <w:p>
      <w:pPr>
        <w:pStyle w:val="Heading3"/>
      </w:pPr>
      <w:r>
        <w:t xml:space="preserve">2. Capacity execution in the Americas</w:t>
      </w:r>
    </w:p>
    <w:p>
      <w:pPr>
        <w:pStyle w:val="FirstParagraph"/>
      </w:pPr>
      <w:r>
        <w:t xml:space="preserve">The Americas generated nearly all of Vertiv’s consolidated growth in Q1. Management has been adding manufacturing, testing, engineering and service capacity across power, thermal and integrated infrastructure solutions.</w:t>
      </w:r>
    </w:p>
    <w:p>
      <w:pPr>
        <w:pStyle w:val="BodyText"/>
      </w:pPr>
      <w:r>
        <w:t xml:space="preserve">Q2 was described as one of Vertiv’s larger capacity ramps, with some sequential margin pressure expected as new capacity came online. Investors should look for:</w:t>
      </w:r>
    </w:p>
    <w:p>
      <w:pPr>
        <w:pStyle w:val="Compact"/>
        <w:numPr>
          <w:ilvl w:val="0"/>
          <w:numId w:val="1007"/>
        </w:numPr>
      </w:pPr>
      <w:r>
        <w:t xml:space="preserve">Whether new capacity started on schedule.</w:t>
      </w:r>
    </w:p>
    <w:p>
      <w:pPr>
        <w:pStyle w:val="Compact"/>
        <w:numPr>
          <w:ilvl w:val="0"/>
          <w:numId w:val="1007"/>
        </w:numPr>
      </w:pPr>
      <w:r>
        <w:t xml:space="preserve">How quickly utilization is improving.</w:t>
      </w:r>
    </w:p>
    <w:p>
      <w:pPr>
        <w:pStyle w:val="Compact"/>
        <w:numPr>
          <w:ilvl w:val="0"/>
          <w:numId w:val="1007"/>
        </w:numPr>
      </w:pPr>
      <w:r>
        <w:t xml:space="preserve">Remaining production or supplier bottlenecks.</w:t>
      </w:r>
    </w:p>
    <w:p>
      <w:pPr>
        <w:pStyle w:val="Compact"/>
        <w:numPr>
          <w:ilvl w:val="0"/>
          <w:numId w:val="1007"/>
        </w:numPr>
      </w:pPr>
      <w:r>
        <w:t xml:space="preserve">Labor availability in manufacturing and field services.</w:t>
      </w:r>
    </w:p>
    <w:p>
      <w:pPr>
        <w:pStyle w:val="Compact"/>
        <w:numPr>
          <w:ilvl w:val="0"/>
          <w:numId w:val="1007"/>
        </w:numPr>
      </w:pPr>
      <w:r>
        <w:t xml:space="preserve">Whether capacity additions support faster second-half revenue conversion.</w:t>
      </w:r>
    </w:p>
    <w:p>
      <w:pPr>
        <w:pStyle w:val="FirstParagraph"/>
      </w:pPr>
      <w:r>
        <w:t xml:space="preserve">A revenue beat driven by improved throughput would be especially constructive because it would validate the second-half plan.</w:t>
      </w:r>
    </w:p>
    <w:bookmarkEnd w:id="14"/>
    <w:bookmarkStart w:id="15" w:name="X34694b9ecb6514e7b2006609c747844ce981e70"/>
    <w:p>
      <w:pPr>
        <w:pStyle w:val="Heading3"/>
      </w:pPr>
      <w:r>
        <w:t xml:space="preserve">3. Margin durability</w:t>
      </w:r>
    </w:p>
    <w:p>
      <w:pPr>
        <w:pStyle w:val="FirstParagraph"/>
      </w:pPr>
      <w:r>
        <w:t xml:space="preserve">Q1’s 20.8% adjusted operating margin was 180 basis points above management’s prior guidance. For Q2, however, management guided to a 21.2% midpoint despite the substantial sequential revenue increase, reflecting capacity-ramp costs and tariff mitigation.</w:t>
      </w:r>
    </w:p>
    <w:p>
      <w:pPr>
        <w:pStyle w:val="BodyText"/>
      </w:pPr>
      <w:r>
        <w:t xml:space="preserve">Vertiv continues to target</w:t>
      </w:r>
      <w:r>
        <w:t xml:space="preserve"> </w:t>
      </w:r>
      <w:r>
        <w:rPr>
          <w:b/>
          <w:bCs/>
        </w:rPr>
        <w:t xml:space="preserve">30%–35% incremental margins</w:t>
      </w:r>
      <w:r>
        <w:t xml:space="preserve"> </w:t>
      </w:r>
      <w:r>
        <w:t xml:space="preserve">over the full year. The report should clarify whether:</w:t>
      </w:r>
    </w:p>
    <w:p>
      <w:pPr>
        <w:pStyle w:val="Compact"/>
        <w:numPr>
          <w:ilvl w:val="0"/>
          <w:numId w:val="1008"/>
        </w:numPr>
      </w:pPr>
      <w:r>
        <w:t xml:space="preserve">Price remains ahead of material, freight and tariff costs.</w:t>
      </w:r>
    </w:p>
    <w:p>
      <w:pPr>
        <w:pStyle w:val="Compact"/>
        <w:numPr>
          <w:ilvl w:val="0"/>
          <w:numId w:val="1008"/>
        </w:numPr>
      </w:pPr>
      <w:r>
        <w:t xml:space="preserve">Capacity investments are temporary rather than structural margin headwinds.</w:t>
      </w:r>
    </w:p>
    <w:p>
      <w:pPr>
        <w:pStyle w:val="Compact"/>
        <w:numPr>
          <w:ilvl w:val="0"/>
          <w:numId w:val="1008"/>
        </w:numPr>
      </w:pPr>
      <w:r>
        <w:t xml:space="preserve">Services and integrated systems are contributing expected margins.</w:t>
      </w:r>
    </w:p>
    <w:p>
      <w:pPr>
        <w:pStyle w:val="Compact"/>
        <w:numPr>
          <w:ilvl w:val="0"/>
          <w:numId w:val="1008"/>
        </w:numPr>
      </w:pPr>
      <w:r>
        <w:t xml:space="preserve">The company remains on track for a 23.3% full-year margin midpoint.</w:t>
      </w:r>
    </w:p>
    <w:p>
      <w:pPr>
        <w:pStyle w:val="FirstParagraph"/>
      </w:pPr>
      <w:r>
        <w:t xml:space="preserve">A Q2 margin around or above the Street’s 21.6% estimate would support the thesis that Vertiv can invest aggressively without sacrificing operating leverage.</w:t>
      </w:r>
    </w:p>
    <w:bookmarkEnd w:id="15"/>
    <w:bookmarkStart w:id="16" w:name="X450717981d731478d7324b633df0ee3862ae6ae"/>
    <w:p>
      <w:pPr>
        <w:pStyle w:val="Heading3"/>
      </w:pPr>
      <w:r>
        <w:t xml:space="preserve">4. The promised EMEA recovery</w:t>
      </w:r>
    </w:p>
    <w:p>
      <w:pPr>
        <w:pStyle w:val="FirstParagraph"/>
      </w:pPr>
      <w:r>
        <w:t xml:space="preserve">EMEA organic revenue fell 29% in Q1 because of weaker orders placed during the middle of 2025. Management nevertheless reported stronger bookings and pipeline activity and expects:</w:t>
      </w:r>
    </w:p>
    <w:p>
      <w:pPr>
        <w:pStyle w:val="Compact"/>
        <w:numPr>
          <w:ilvl w:val="0"/>
          <w:numId w:val="1009"/>
        </w:numPr>
      </w:pPr>
      <w:r>
        <w:t xml:space="preserve">EMEA sales to return to year-over-year growth during the second half.</w:t>
      </w:r>
    </w:p>
    <w:p>
      <w:pPr>
        <w:pStyle w:val="Compact"/>
        <w:numPr>
          <w:ilvl w:val="0"/>
          <w:numId w:val="1009"/>
        </w:numPr>
      </w:pPr>
      <w:r>
        <w:t xml:space="preserve">Full-year EMEA organic growth to be approximately flat.</w:t>
      </w:r>
    </w:p>
    <w:p>
      <w:pPr>
        <w:pStyle w:val="FirstParagraph"/>
      </w:pPr>
      <w:r>
        <w:t xml:space="preserve">That requires a pronounced reversal. Investors should listen for quantified comments on bookings, major AI projects, production timing and the contribution from ThermoKey, whose acquisition closed on June 12.</w:t>
      </w:r>
    </w:p>
    <w:p>
      <w:pPr>
        <w:pStyle w:val="BodyText"/>
      </w:pPr>
      <w:r>
        <w:t xml:space="preserve">If the EMEA recovery is delayed, Vertiv may need even more growth from the Americas to reach its full-year target.</w:t>
      </w:r>
    </w:p>
    <w:bookmarkEnd w:id="16"/>
    <w:bookmarkStart w:id="17" w:name="Xfffb0b017f2d9f58be709b198d539e0e3a690d4"/>
    <w:p>
      <w:pPr>
        <w:pStyle w:val="Heading3"/>
      </w:pPr>
      <w:r>
        <w:t xml:space="preserve">5. Cash-flow quality</w:t>
      </w:r>
    </w:p>
    <w:p>
      <w:pPr>
        <w:pStyle w:val="FirstParagraph"/>
      </w:pPr>
      <w:r>
        <w:t xml:space="preserve">Q1 free cash flow was excellent, but it benefited from a</w:t>
      </w:r>
      <w:r>
        <w:t xml:space="preserve"> </w:t>
      </w:r>
      <m:oMath>
        <m:r>
          <m:t>228</m:t>
        </m:r>
        <m:r>
          <m:t>m</m:t>
        </m:r>
        <m:r>
          <m:t>i</m:t>
        </m:r>
        <m:r>
          <m:t>l</m:t>
        </m:r>
        <m:r>
          <m:t>l</m:t>
        </m:r>
        <m:r>
          <m:t>i</m:t>
        </m:r>
        <m:r>
          <m:t>o</m:t>
        </m:r>
        <m:r>
          <m:t>n</m:t>
        </m:r>
        <m:r>
          <m:t>w</m:t>
        </m:r>
        <m:r>
          <m:t>o</m:t>
        </m:r>
        <m:r>
          <m:t>r</m:t>
        </m:r>
        <m:r>
          <m:t>k</m:t>
        </m:r>
        <m:r>
          <m:t>i</m:t>
        </m:r>
        <m:r>
          <m:t>n</m:t>
        </m:r>
        <m:r>
          <m:t>g</m:t>
        </m:r>
        <m:r>
          <m:rPr>
            <m:sty m:val="p"/>
          </m:rPr>
          <m:t>−</m:t>
        </m:r>
        <m:r>
          <m:t>c</m:t>
        </m:r>
        <m:r>
          <m:t>a</m:t>
        </m:r>
        <m:r>
          <m:t>p</m:t>
        </m:r>
        <m:r>
          <m:t>i</m:t>
        </m:r>
        <m:r>
          <m:t>t</m:t>
        </m:r>
        <m:r>
          <m:t>a</m:t>
        </m:r>
        <m:r>
          <m:t>l</m:t>
        </m:r>
        <m:r>
          <m:t>i</m:t>
        </m:r>
        <m:r>
          <m:t>n</m:t>
        </m:r>
        <m:r>
          <m:t>f</m:t>
        </m:r>
        <m:r>
          <m:t>l</m:t>
        </m:r>
        <m:r>
          <m:t>o</m:t>
        </m:r>
        <m:r>
          <m:t>w</m:t>
        </m:r>
        <m:r>
          <m:rPr>
            <m:sty m:val="p"/>
          </m:rPr>
          <m:t>*</m:t>
        </m:r>
        <m:r>
          <m:rPr>
            <m:sty m:val="p"/>
          </m:rPr>
          <m:t>*</m:t>
        </m:r>
        <m:r>
          <m:rPr>
            <m:sty m:val="p"/>
          </m:rPr>
          <m:t>,</m:t>
        </m:r>
        <m:r>
          <m:t>i</m:t>
        </m:r>
        <m:r>
          <m:t>n</m:t>
        </m:r>
        <m:r>
          <m:t>c</m:t>
        </m:r>
        <m:r>
          <m:t>l</m:t>
        </m:r>
        <m:r>
          <m:t>u</m:t>
        </m:r>
        <m:r>
          <m:t>d</m:t>
        </m:r>
        <m:r>
          <m:t>i</m:t>
        </m:r>
        <m:r>
          <m:t>n</m:t>
        </m:r>
        <m:r>
          <m:t>g</m:t>
        </m:r>
        <m:r>
          <m:t>a</m:t>
        </m:r>
        <m:r>
          <m:rPr>
            <m:sty m:val="p"/>
          </m:rPr>
          <m:t>*</m:t>
        </m:r>
        <m:r>
          <m:rPr>
            <m:sty m:val="p"/>
          </m:rPr>
          <m:t>*</m:t>
        </m:r>
      </m:oMath>
      <w:r>
        <w:rPr>
          <w:b/>
          <w:bCs/>
        </w:rPr>
        <w:t xml:space="preserve">651 million increase in deferred revenue</w:t>
      </w:r>
      <w:r>
        <w:t xml:space="preserve">. At the same time, inventories increased by approximately $378 million sequentially as Vertiv prepared for growth.</w:t>
      </w:r>
    </w:p>
    <w:p>
      <w:pPr>
        <w:pStyle w:val="BodyText"/>
      </w:pPr>
      <w:r>
        <w:t xml:space="preserve">Management left full-year adjusted free-cash-flow guidance unchanged at a $2.2 billion midpoint despite raising earnings guidance. Watch for:</w:t>
      </w:r>
    </w:p>
    <w:p>
      <w:pPr>
        <w:pStyle w:val="Compact"/>
        <w:numPr>
          <w:ilvl w:val="0"/>
          <w:numId w:val="1010"/>
        </w:numPr>
      </w:pPr>
      <w:r>
        <w:t xml:space="preserve">Inventory requirements associated with the second-half ramp.</w:t>
      </w:r>
    </w:p>
    <w:p>
      <w:pPr>
        <w:pStyle w:val="Compact"/>
        <w:numPr>
          <w:ilvl w:val="0"/>
          <w:numId w:val="1010"/>
        </w:numPr>
      </w:pPr>
      <w:r>
        <w:t xml:space="preserve">Continued customer advance payments.</w:t>
      </w:r>
    </w:p>
    <w:p>
      <w:pPr>
        <w:pStyle w:val="Compact"/>
        <w:numPr>
          <w:ilvl w:val="0"/>
          <w:numId w:val="1010"/>
        </w:numPr>
      </w:pPr>
      <w:r>
        <w:t xml:space="preserve">Receivables and payment timing.</w:t>
      </w:r>
    </w:p>
    <w:p>
      <w:pPr>
        <w:pStyle w:val="Compact"/>
        <w:numPr>
          <w:ilvl w:val="0"/>
          <w:numId w:val="1010"/>
        </w:numPr>
      </w:pPr>
      <w:r>
        <w:t xml:space="preserve">Capital expenditures, previously expected at</w:t>
      </w:r>
      <w:r>
        <w:t xml:space="preserve"> </w:t>
      </w:r>
      <m:oMath>
        <m:r>
          <m:t>425</m:t>
        </m:r>
        <m:r>
          <m:t>M</m:t>
        </m:r>
        <m:r>
          <m:rPr>
            <m:sty m:val="p"/>
          </m:rPr>
          <m:t>–</m:t>
        </m:r>
      </m:oMath>
      <w:r>
        <w:t xml:space="preserve">525M.</w:t>
      </w:r>
    </w:p>
    <w:p>
      <w:pPr>
        <w:pStyle w:val="Compact"/>
        <w:numPr>
          <w:ilvl w:val="0"/>
          <w:numId w:val="1010"/>
        </w:numPr>
      </w:pPr>
      <w:r>
        <w:t xml:space="preserve">Whether higher earnings now produce a free-cash-flow upgrade.</w:t>
      </w:r>
    </w:p>
    <w:p>
      <w:pPr>
        <w:pStyle w:val="FirstParagraph"/>
      </w:pPr>
      <w:r>
        <w:t xml:space="preserve">Strong cash conversion would reinforce the quality of the backlog and give Vertiv additional flexibility for acquisitions and technology investment.</w:t>
      </w:r>
    </w:p>
    <w:bookmarkEnd w:id="17"/>
    <w:bookmarkEnd w:id="18"/>
    <w:bookmarkStart w:id="19" w:name="strategic-developments-since-q1"/>
    <w:p>
      <w:pPr>
        <w:pStyle w:val="Heading2"/>
      </w:pPr>
      <w:r>
        <w:t xml:space="preserve">Strategic developments since Q1</w:t>
      </w:r>
    </w:p>
    <w:p>
      <w:pPr>
        <w:pStyle w:val="FirstParagraph"/>
      </w:pPr>
      <w:r>
        <w:t xml:space="preserve">Vertiv has continued expanding its liquid-cooling and heat-rejection capabilities:</w:t>
      </w:r>
    </w:p>
    <w:p>
      <w:pPr>
        <w:pStyle w:val="Compact"/>
        <w:numPr>
          <w:ilvl w:val="0"/>
          <w:numId w:val="1011"/>
        </w:numPr>
      </w:pPr>
      <w:r>
        <w:t xml:space="preserve">It completed the acquisition of</w:t>
      </w:r>
      <w:r>
        <w:t xml:space="preserve"> </w:t>
      </w:r>
      <w:r>
        <w:rPr>
          <w:b/>
          <w:bCs/>
        </w:rPr>
        <w:t xml:space="preserve">Strategic Thermal Labs</w:t>
      </w:r>
      <w:r>
        <w:t xml:space="preserve"> </w:t>
      </w:r>
      <w:r>
        <w:t xml:space="preserve">in April.</w:t>
      </w:r>
    </w:p>
    <w:p>
      <w:pPr>
        <w:pStyle w:val="Compact"/>
        <w:numPr>
          <w:ilvl w:val="0"/>
          <w:numId w:val="1011"/>
        </w:numPr>
      </w:pPr>
      <w:r>
        <w:t xml:space="preserve">It completed the acquisition of</w:t>
      </w:r>
      <w:r>
        <w:t xml:space="preserve"> </w:t>
      </w:r>
      <w:r>
        <w:rPr>
          <w:b/>
          <w:bCs/>
        </w:rPr>
        <w:t xml:space="preserve">ThermoKey</w:t>
      </w:r>
      <w:r>
        <w:t xml:space="preserve"> </w:t>
      </w:r>
      <w:r>
        <w:t xml:space="preserve">in June.</w:t>
      </w:r>
    </w:p>
    <w:p>
      <w:pPr>
        <w:pStyle w:val="Compact"/>
        <w:numPr>
          <w:ilvl w:val="0"/>
          <w:numId w:val="1011"/>
        </w:numPr>
      </w:pPr>
      <w:r>
        <w:t xml:space="preserve">PurgeRite is expanding Vertiv’s fluid-management and liquid-cooling service capabilities.</w:t>
      </w:r>
    </w:p>
    <w:p>
      <w:pPr>
        <w:pStyle w:val="FirstParagraph"/>
      </w:pPr>
      <w:r>
        <w:t xml:space="preserve">At its May investor conference, Vertiv also outlined a broad technology roadmap encompassing:</w:t>
      </w:r>
    </w:p>
    <w:p>
      <w:pPr>
        <w:pStyle w:val="Compact"/>
        <w:numPr>
          <w:ilvl w:val="0"/>
          <w:numId w:val="1012"/>
        </w:numPr>
      </w:pPr>
      <w:r>
        <w:t xml:space="preserve">800-volt DC power architectures.</w:t>
      </w:r>
    </w:p>
    <w:p>
      <w:pPr>
        <w:pStyle w:val="Compact"/>
        <w:numPr>
          <w:ilvl w:val="0"/>
          <w:numId w:val="1012"/>
        </w:numPr>
      </w:pPr>
      <w:r>
        <w:t xml:space="preserve">Medium-voltage UPS and battery-energy-storage systems.</w:t>
      </w:r>
    </w:p>
    <w:p>
      <w:pPr>
        <w:pStyle w:val="Compact"/>
        <w:numPr>
          <w:ilvl w:val="0"/>
          <w:numId w:val="1012"/>
        </w:numPr>
      </w:pPr>
      <w:r>
        <w:t xml:space="preserve">Higher-density liquid cooling.</w:t>
      </w:r>
    </w:p>
    <w:p>
      <w:pPr>
        <w:pStyle w:val="Compact"/>
        <w:numPr>
          <w:ilvl w:val="0"/>
          <w:numId w:val="1012"/>
        </w:numPr>
      </w:pPr>
      <w:r>
        <w:t xml:space="preserve">SmartRun prefabricated white-space systems.</w:t>
      </w:r>
    </w:p>
    <w:p>
      <w:pPr>
        <w:pStyle w:val="Compact"/>
        <w:numPr>
          <w:ilvl w:val="0"/>
          <w:numId w:val="1012"/>
        </w:numPr>
      </w:pPr>
      <w:r>
        <w:t xml:space="preserve">OneCore integrated data-center infrastructure.</w:t>
      </w:r>
    </w:p>
    <w:p>
      <w:pPr>
        <w:pStyle w:val="Compact"/>
        <w:numPr>
          <w:ilvl w:val="0"/>
          <w:numId w:val="1012"/>
        </w:numPr>
      </w:pPr>
      <w:r>
        <w:t xml:space="preserve">System-level software and controls.</w:t>
      </w:r>
    </w:p>
    <w:p>
      <w:pPr>
        <w:pStyle w:val="FirstParagraph"/>
      </w:pPr>
      <w:r>
        <w:t xml:space="preserve">Most of the 800-volt opportunity is oriented toward 2027 and beyond, so it should not materially determine Q2. More relevant will be whether current-generation liquid-cooling, prefabrication and services revenue is scaling as expected.</w:t>
      </w:r>
    </w:p>
    <w:bookmarkEnd w:id="19"/>
    <w:bookmarkStart w:id="20" w:name="valuation-and-stock-setup"/>
    <w:p>
      <w:pPr>
        <w:pStyle w:val="Heading2"/>
      </w:pPr>
      <w:r>
        <w:t xml:space="preserve">Valuation and stock setup</w:t>
      </w:r>
    </w:p>
    <w:p>
      <w:pPr>
        <w:pStyle w:val="FirstParagraph"/>
      </w:pPr>
      <w:r>
        <w:t xml:space="preserve">VRT closed July 28 at</w:t>
      </w:r>
      <w:r>
        <w:t xml:space="preserve"> </w:t>
      </w:r>
      <w:r>
        <w:rPr>
          <w:b/>
          <w:bCs/>
        </w:rPr>
        <w:t xml:space="preserve">$269.60</w:t>
      </w:r>
      <w:r>
        <w:t xml:space="preserve">:</w:t>
      </w:r>
    </w:p>
    <w:p>
      <w:pPr>
        <w:pStyle w:val="Compact"/>
        <w:numPr>
          <w:ilvl w:val="0"/>
          <w:numId w:val="1013"/>
        </w:numPr>
      </w:pPr>
      <w:r>
        <w:t xml:space="preserve">Up approximately</w:t>
      </w:r>
      <w:r>
        <w:t xml:space="preserve"> </w:t>
      </w:r>
      <w:r>
        <w:rPr>
          <w:b/>
          <w:bCs/>
        </w:rPr>
        <w:t xml:space="preserve">66%</w:t>
      </w:r>
      <w:r>
        <w:t xml:space="preserve"> </w:t>
      </w:r>
      <w:r>
        <w:t xml:space="preserve">from year-end 2025.</w:t>
      </w:r>
    </w:p>
    <w:p>
      <w:pPr>
        <w:pStyle w:val="Compact"/>
        <w:numPr>
          <w:ilvl w:val="0"/>
          <w:numId w:val="1013"/>
        </w:numPr>
      </w:pPr>
      <w:r>
        <w:t xml:space="preserve">Down approximately</w:t>
      </w:r>
      <w:r>
        <w:t xml:space="preserve"> </w:t>
      </w:r>
      <w:r>
        <w:rPr>
          <w:b/>
          <w:bCs/>
        </w:rPr>
        <w:t xml:space="preserve">28%</w:t>
      </w:r>
      <w:r>
        <w:t xml:space="preserve"> </w:t>
      </w:r>
      <w:r>
        <w:t xml:space="preserve">from its May high of $376.23.</w:t>
      </w:r>
    </w:p>
    <w:p>
      <w:pPr>
        <w:pStyle w:val="Compact"/>
        <w:numPr>
          <w:ilvl w:val="0"/>
          <w:numId w:val="1013"/>
        </w:numPr>
      </w:pPr>
      <w:r>
        <w:t xml:space="preserve">Trading at roughly</w:t>
      </w:r>
      <w:r>
        <w:t xml:space="preserve"> </w:t>
      </w:r>
      <w:r>
        <w:rPr>
          <w:b/>
          <w:bCs/>
        </w:rPr>
        <w:t xml:space="preserve">42.5x</w:t>
      </w:r>
      <w:r>
        <w:t xml:space="preserve"> </w:t>
      </w:r>
      <w:r>
        <w:t xml:space="preserve">the $6.35 midpoint of 2026 adjusted EPS guidance.</w:t>
      </w:r>
    </w:p>
    <w:p>
      <w:pPr>
        <w:pStyle w:val="FirstParagraph"/>
      </w:pPr>
      <w:r>
        <w:t xml:space="preserve">The recent pullback reduces the immediate valuation risk, but the multiple still discounts several years of strong growth and successful margin expansion. That leaves the stock particularly sensitive to forward commentary.</w:t>
      </w:r>
    </w:p>
    <w:bookmarkEnd w:id="20"/>
    <w:bookmarkStart w:id="24" w:name="scenario-framework"/>
    <w:p>
      <w:pPr>
        <w:pStyle w:val="Heading2"/>
      </w:pPr>
      <w:r>
        <w:t xml:space="preserve">Scenario framework</w:t>
      </w:r>
    </w:p>
    <w:bookmarkStart w:id="21" w:name="bullish"/>
    <w:p>
      <w:pPr>
        <w:pStyle w:val="Heading3"/>
      </w:pPr>
      <w:r>
        <w:t xml:space="preserve">Bullish</w:t>
      </w:r>
    </w:p>
    <w:p>
      <w:pPr>
        <w:pStyle w:val="Compact"/>
        <w:numPr>
          <w:ilvl w:val="0"/>
          <w:numId w:val="1014"/>
        </w:numPr>
      </w:pPr>
      <w:r>
        <w:t xml:space="preserve">Revenue, margin and EPS exceed Street estimates.</w:t>
      </w:r>
    </w:p>
    <w:p>
      <w:pPr>
        <w:pStyle w:val="Compact"/>
        <w:numPr>
          <w:ilvl w:val="0"/>
          <w:numId w:val="1014"/>
        </w:numPr>
      </w:pPr>
      <w:r>
        <w:t xml:space="preserve">Orders and pipeline remain robust.</w:t>
      </w:r>
    </w:p>
    <w:p>
      <w:pPr>
        <w:pStyle w:val="Compact"/>
        <w:numPr>
          <w:ilvl w:val="0"/>
          <w:numId w:val="1014"/>
        </w:numPr>
      </w:pPr>
      <w:r>
        <w:t xml:space="preserve">Full-year revenue, operating profit and EPS guidance rise.</w:t>
      </w:r>
    </w:p>
    <w:p>
      <w:pPr>
        <w:pStyle w:val="Compact"/>
        <w:numPr>
          <w:ilvl w:val="0"/>
          <w:numId w:val="1014"/>
        </w:numPr>
      </w:pPr>
      <w:r>
        <w:t xml:space="preserve">EMEA recovery is reaffirmed.</w:t>
      </w:r>
    </w:p>
    <w:p>
      <w:pPr>
        <w:pStyle w:val="Compact"/>
        <w:numPr>
          <w:ilvl w:val="0"/>
          <w:numId w:val="1014"/>
        </w:numPr>
      </w:pPr>
      <w:r>
        <w:t xml:space="preserve">Free-cash-flow guidance increases or management indicates upside.</w:t>
      </w:r>
    </w:p>
    <w:p>
      <w:pPr>
        <w:pStyle w:val="Compact"/>
        <w:numPr>
          <w:ilvl w:val="0"/>
          <w:numId w:val="1014"/>
        </w:numPr>
      </w:pPr>
      <w:r>
        <w:t xml:space="preserve">Capacity additions support faster delivery without lowering incremental-margin expectations.</w:t>
      </w:r>
    </w:p>
    <w:bookmarkEnd w:id="21"/>
    <w:bookmarkStart w:id="22" w:name="mixed"/>
    <w:p>
      <w:pPr>
        <w:pStyle w:val="Heading3"/>
      </w:pPr>
      <w:r>
        <w:t xml:space="preserve">Mixed</w:t>
      </w:r>
    </w:p>
    <w:p>
      <w:pPr>
        <w:pStyle w:val="Compact"/>
        <w:numPr>
          <w:ilvl w:val="0"/>
          <w:numId w:val="1015"/>
        </w:numPr>
      </w:pPr>
      <w:r>
        <w:t xml:space="preserve">Q2 beats, but full-year guidance is only maintained.</w:t>
      </w:r>
    </w:p>
    <w:p>
      <w:pPr>
        <w:pStyle w:val="Compact"/>
        <w:numPr>
          <w:ilvl w:val="0"/>
          <w:numId w:val="1015"/>
        </w:numPr>
      </w:pPr>
      <w:r>
        <w:t xml:space="preserve">Management cites conservatism, tariffs or capacity investments.</w:t>
      </w:r>
    </w:p>
    <w:p>
      <w:pPr>
        <w:pStyle w:val="Compact"/>
        <w:numPr>
          <w:ilvl w:val="0"/>
          <w:numId w:val="1015"/>
        </w:numPr>
      </w:pPr>
      <w:r>
        <w:t xml:space="preserve">Orders remain strong, but EMEA timing remains uncertain.</w:t>
      </w:r>
    </w:p>
    <w:p>
      <w:pPr>
        <w:pStyle w:val="Compact"/>
        <w:numPr>
          <w:ilvl w:val="0"/>
          <w:numId w:val="1015"/>
        </w:numPr>
      </w:pPr>
      <w:r>
        <w:t xml:space="preserve">The quarter is fundamentally good, yet the stock response is muted because expectations were higher.</w:t>
      </w:r>
    </w:p>
    <w:bookmarkEnd w:id="22"/>
    <w:bookmarkStart w:id="23" w:name="bearish"/>
    <w:p>
      <w:pPr>
        <w:pStyle w:val="Heading3"/>
      </w:pPr>
      <w:r>
        <w:t xml:space="preserve">Bearish</w:t>
      </w:r>
    </w:p>
    <w:p>
      <w:pPr>
        <w:pStyle w:val="Compact"/>
        <w:numPr>
          <w:ilvl w:val="0"/>
          <w:numId w:val="1016"/>
        </w:numPr>
      </w:pPr>
      <w:r>
        <w:t xml:space="preserve">Results land near the midpoint of company guidance rather than consensus.</w:t>
      </w:r>
    </w:p>
    <w:p>
      <w:pPr>
        <w:pStyle w:val="Compact"/>
        <w:numPr>
          <w:ilvl w:val="0"/>
          <w:numId w:val="1016"/>
        </w:numPr>
      </w:pPr>
      <w:r>
        <w:t xml:space="preserve">Adjusted margin falls below 21%.</w:t>
      </w:r>
    </w:p>
    <w:p>
      <w:pPr>
        <w:pStyle w:val="Compact"/>
        <w:numPr>
          <w:ilvl w:val="0"/>
          <w:numId w:val="1016"/>
        </w:numPr>
      </w:pPr>
      <w:r>
        <w:t xml:space="preserve">Full-year guidance is maintained or reduced.</w:t>
      </w:r>
    </w:p>
    <w:p>
      <w:pPr>
        <w:pStyle w:val="Compact"/>
        <w:numPr>
          <w:ilvl w:val="0"/>
          <w:numId w:val="1016"/>
        </w:numPr>
      </w:pPr>
      <w:r>
        <w:t xml:space="preserve">Pipeline conversion slows or project dates move outward.</w:t>
      </w:r>
    </w:p>
    <w:p>
      <w:pPr>
        <w:pStyle w:val="Compact"/>
        <w:numPr>
          <w:ilvl w:val="0"/>
          <w:numId w:val="1016"/>
        </w:numPr>
      </w:pPr>
      <w:r>
        <w:t xml:space="preserve">EMEA’s recovery is delayed.</w:t>
      </w:r>
    </w:p>
    <w:p>
      <w:pPr>
        <w:pStyle w:val="Compact"/>
        <w:numPr>
          <w:ilvl w:val="0"/>
          <w:numId w:val="1016"/>
        </w:numPr>
      </w:pPr>
      <w:r>
        <w:t xml:space="preserve">Working-capital needs prevent earnings growth from converting into cash.</w:t>
      </w:r>
    </w:p>
    <w:bookmarkEnd w:id="23"/>
    <w:bookmarkEnd w:id="24"/>
    <w:bookmarkStart w:id="25" w:name="bottom-line"/>
    <w:p>
      <w:pPr>
        <w:pStyle w:val="Heading2"/>
      </w:pPr>
      <w:r>
        <w:t xml:space="preserve">Bottom line</w:t>
      </w:r>
    </w:p>
    <w:p>
      <w:pPr>
        <w:pStyle w:val="FirstParagraph"/>
      </w:pPr>
      <w:r>
        <w:t xml:space="preserve">Vertiv’s underlying demand environment appears exceptionally strong, but that is well understood. The decisive issue is whether the company can convert that demand into revenue and cash while simultaneously adding capacity and expanding margins.</w:t>
      </w:r>
    </w:p>
    <w:p>
      <w:pPr>
        <w:pStyle w:val="BodyText"/>
      </w:pPr>
      <w:r>
        <w:t xml:space="preserve">The most important combination would be</w:t>
      </w:r>
      <w:r>
        <w:t xml:space="preserve"> </w:t>
      </w:r>
      <w:r>
        <w:rPr>
          <w:b/>
          <w:bCs/>
        </w:rPr>
        <w:t xml:space="preserve">a Q2 beat, a broad-based guidance raise and confident commentary on orders, capacity and EMEA</w:t>
      </w:r>
      <w:r>
        <w:t xml:space="preserve">. Anything less may struggle to satisfy a valuation that still assumes Vertiv remains one of the principal financial beneficiaries of the AI infrastructure buildout.</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2026-07-29T01:04:18Z</dcterms:created>
  <dcterms:modified xsi:type="dcterms:W3CDTF">2026-07-29T01:04:18Z</dcterms:modified>
</cp:coreProperties>
</file>

<file path=docProps/custom.xml><?xml version="1.0" encoding="utf-8"?>
<Properties xmlns="http://schemas.openxmlformats.org/officeDocument/2006/custom-properties" xmlns:vt="http://schemas.openxmlformats.org/officeDocument/2006/docPropsVTypes"/>
</file>