
<file path=[Content_Types].xml><?xml version="1.0" encoding="utf-8"?>
<Types xmlns="http://schemas.openxmlformats.org/package/2006/content-types">
  <Default Extension="xml" ContentType="application/xml"/>
  <Default Extension="rels" ContentType="application/vnd.openxmlformats-package.relationships+xml"/>
  <Default Extension="odttf" ContentType="application/vnd.openxmlformats-officedocument.obfuscatedFont"/>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vertiv-nyse-vrt--2q26-earnings-preview"/>
    <w:p>
      <w:pPr>
        <w:pStyle w:val="Heading1"/>
      </w:pPr>
      <w:r>
        <w:t xml:space="preserve">Vertiv (NYSE: VRT) — 2Q26 Earnings Preview</w:t>
      </w:r>
    </w:p>
    <w:p>
      <w:pPr>
        <w:pStyle w:val="BlockText"/>
      </w:pPr>
      <w:r>
        <w:rPr>
          <w:b/>
          <w:bCs/>
        </w:rPr>
        <w:t xml:space="preserve">Date clarification:</w:t>
      </w:r>
      <w:r>
        <w:t xml:space="preserve"> </w:t>
      </w:r>
      <w:r>
        <w:t xml:space="preserve">July 29, 2026 is</w:t>
      </w:r>
      <w:r>
        <w:t xml:space="preserve"> </w:t>
      </w:r>
      <w:r>
        <w:rPr>
          <w:b/>
          <w:bCs/>
        </w:rPr>
        <w:t xml:space="preserve">today</w:t>
      </w:r>
      <w:r>
        <w:t xml:space="preserve">, not tomorrow. Vertiv is scheduled to release 2Q26 results</w:t>
      </w:r>
      <w:r>
        <w:t xml:space="preserve"> </w:t>
      </w:r>
      <w:r>
        <w:rPr>
          <w:b/>
          <w:bCs/>
        </w:rPr>
        <w:t xml:space="preserve">before the U.S. market opens</w:t>
      </w:r>
      <w:r>
        <w:t xml:space="preserve"> </w:t>
      </w:r>
      <w:r>
        <w:t xml:space="preserve">on Wednesday, July 29, followed by its earnings call at</w:t>
      </w:r>
      <w:r>
        <w:t xml:space="preserve"> </w:t>
      </w:r>
      <w:r>
        <w:rPr>
          <w:b/>
          <w:bCs/>
        </w:rPr>
        <w:t xml:space="preserve">11:00 a.m. ET</w:t>
      </w:r>
      <w:r>
        <w:t xml:space="preserve">.</w:t>
      </w:r>
    </w:p>
    <w:bookmarkStart w:id="9" w:name="Xe70d09c12364fdfc7ab27d6a1ee519321dd6c98"/>
    <w:p>
      <w:pPr>
        <w:pStyle w:val="Heading2"/>
      </w:pPr>
      <w:r>
        <w:t xml:space="preserve">Investment view: the bar is high, but the fundamental setup remains favorable</w:t>
      </w:r>
    </w:p>
    <w:p>
      <w:pPr>
        <w:pStyle w:val="FirstParagraph"/>
      </w:pPr>
      <w:r>
        <w:t xml:space="preserve">Vertiv enters 2Q26 earnings as one of the clearest public-market beneficiaries of AI-data-center infrastructure spending. The company’s first-quarter results showed exceptional demand, particularly in the Americas, alongside substantial operating leverage. Its May Investor Conference reinforced the strategic case: AI rack density, liquid cooling, power-management complexity, energy storage, and prefabricated/converged infrastructure all expand Vertiv’s addressable content per data-center deployment.</w:t>
      </w:r>
    </w:p>
    <w:p>
      <w:pPr>
        <w:pStyle w:val="BodyText"/>
      </w:pPr>
      <w:r>
        <w:t xml:space="preserve">The challenge for the stock is no longer whether the business is growing—it is</w:t>
      </w:r>
      <w:r>
        <w:t xml:space="preserve"> </w:t>
      </w:r>
      <w:r>
        <w:rPr>
          <w:b/>
          <w:bCs/>
        </w:rPr>
        <w:t xml:space="preserve">how much upside is already embedded in expectations</w:t>
      </w:r>
      <w:r>
        <w:t xml:space="preserve">. The Street is looking for results near the</w:t>
      </w:r>
      <w:r>
        <w:t xml:space="preserve"> </w:t>
      </w:r>
      <w:r>
        <w:rPr>
          <w:b/>
          <w:bCs/>
        </w:rPr>
        <w:t xml:space="preserve">upper end of management’s April guide</w:t>
      </w:r>
      <w:r>
        <w:t xml:space="preserve">, especially on EPS and margins. Therefore, an in-line quarter or a modest beat without a convincing increase in the full-year outlook may not be enough to satisfy investors.</w:t>
      </w:r>
    </w:p>
    <w:p>
      <w:pPr>
        <w:pStyle w:val="BodyText"/>
      </w:pPr>
      <w:r>
        <w:t xml:space="preserve">VRT closed at</w:t>
      </w:r>
      <w:r>
        <w:t xml:space="preserve"> </w:t>
      </w:r>
      <w:r>
        <w:rPr>
          <w:b/>
          <w:bCs/>
        </w:rPr>
        <w:t xml:space="preserve">$269.60 on July 28</w:t>
      </w:r>
      <w:r>
        <w:t xml:space="preserve">, up roughly</w:t>
      </w:r>
      <w:r>
        <w:t xml:space="preserve"> </w:t>
      </w:r>
      <w:r>
        <w:rPr>
          <w:b/>
          <w:bCs/>
        </w:rPr>
        <w:t xml:space="preserve">66% year to date</w:t>
      </w:r>
      <w:r>
        <w:t xml:space="preserve">, though about</w:t>
      </w:r>
      <w:r>
        <w:t xml:space="preserve"> </w:t>
      </w:r>
      <w:r>
        <w:rPr>
          <w:b/>
          <w:bCs/>
        </w:rPr>
        <w:t xml:space="preserve">28% below</w:t>
      </w:r>
      <w:r>
        <w:t xml:space="preserve"> </w:t>
      </w:r>
      <w:r>
        <w:t xml:space="preserve">its May 14 closing high of $376.23. That combination suggests investors remain structurally constructive but have become more sensitive to evidence that the AI-infrastructure cycle can continue accelerating through 2026 and into 2027.</w:t>
      </w:r>
    </w:p>
    <w:p>
      <w:r>
        <w:pict>
          <v:rect style="width:0;height:1.5pt" o:hralign="center" o:hrstd="t" o:hr="t"/>
        </w:pict>
      </w:r>
    </w:p>
    <w:bookmarkEnd w:id="9"/>
    <w:bookmarkStart w:id="10" w:name="what-the-market-expects"/>
    <w:p>
      <w:pPr>
        <w:pStyle w:val="Heading2"/>
      </w:pPr>
      <w:r>
        <w:t xml:space="preserve">What the market expects</w:t>
      </w:r>
    </w:p>
    <w:tbl>
      <w:tblPr>
        <w:tblStyle w:val="Table"/>
        <w:tblW w:type="auto" w:w="0"/>
        <w:tblLook w:firstRow="1" w:lastRow="0" w:firstColumn="0" w:lastColumn="0" w:noHBand="0" w:noVBand="0" w:val="0020"/>
      </w:tblPr>
      <w:tblGrid>
        <w:gridCol w:w="1980"/>
        <w:gridCol w:w="1980"/>
        <w:gridCol w:w="1980"/>
        <w:gridCol w:w="1980"/>
      </w:tblGrid>
      <w:tr>
        <w:trPr>
          <w:tblHeader w:val="on"/>
        </w:trPr>
        <w:tc>
          <w:tcPr/>
          <w:p>
            <w:pPr>
              <w:pStyle w:val="Compact"/>
            </w:pPr>
            <w:r>
              <w:t xml:space="preserve">Metric</w:t>
            </w:r>
          </w:p>
        </w:tc>
        <w:tc>
          <w:tcPr/>
          <w:p>
            <w:pPr>
              <w:pStyle w:val="Compact"/>
              <w:jc w:val="right"/>
            </w:pPr>
            <w:r>
              <w:t xml:space="preserve">Vertiv 2Q26 guidance</w:t>
            </w:r>
          </w:p>
        </w:tc>
        <w:tc>
          <w:tcPr/>
          <w:p>
            <w:pPr>
              <w:pStyle w:val="Compact"/>
              <w:jc w:val="right"/>
            </w:pPr>
            <w:r>
              <w:t xml:space="preserve">Guidance midpoint</w:t>
            </w:r>
          </w:p>
        </w:tc>
        <w:tc>
          <w:tcPr/>
          <w:p>
            <w:pPr>
              <w:pStyle w:val="Compact"/>
              <w:jc w:val="right"/>
            </w:pPr>
            <w:r>
              <w:t xml:space="preserve">Street expectation</w:t>
            </w:r>
          </w:p>
        </w:tc>
      </w:tr>
      <w:tr>
        <w:tc>
          <w:tcPr/>
          <w:p>
            <w:pPr>
              <w:pStyle w:val="Compact"/>
            </w:pPr>
            <w:r>
              <w:t xml:space="preserve">Revenue</w:t>
            </w:r>
          </w:p>
        </w:tc>
        <w:tc>
          <w:tcPr/>
          <w:p>
            <w:pPr>
              <w:pStyle w:val="Compact"/>
              <w:jc w:val="right"/>
            </w:pPr>
            <m:oMath>
              <m:r>
                <m:t>3.25</m:t>
              </m:r>
              <m:r>
                <m:t>B</m:t>
              </m:r>
              <m:r>
                <m:rPr>
                  <m:sty m:val="p"/>
                </m:rPr>
                <m:t>–</m:t>
              </m:r>
            </m:oMath>
            <w:r>
              <w:t xml:space="preserve">3.45B</w:t>
            </w:r>
          </w:p>
        </w:tc>
        <w:tc>
          <w:tcPr/>
          <w:p>
            <w:pPr>
              <w:pStyle w:val="Compact"/>
              <w:jc w:val="right"/>
            </w:pPr>
            <w:r>
              <w:t xml:space="preserve">$3.35B</w:t>
            </w:r>
          </w:p>
        </w:tc>
        <w:tc>
          <w:tcPr/>
          <w:p>
            <w:pPr>
              <w:pStyle w:val="Compact"/>
              <w:jc w:val="right"/>
            </w:pPr>
            <w:r>
              <w:rPr>
                <w:b/>
                <w:bCs/>
              </w:rPr>
              <w:t xml:space="preserve">$3.39B</w:t>
            </w:r>
          </w:p>
        </w:tc>
      </w:tr>
      <w:tr>
        <w:tc>
          <w:tcPr/>
          <w:p>
            <w:pPr>
              <w:pStyle w:val="Compact"/>
            </w:pPr>
            <w:r>
              <w:t xml:space="preserve">Organic revenue growth</w:t>
            </w:r>
          </w:p>
        </w:tc>
        <w:tc>
          <w:tcPr/>
          <w:p>
            <w:pPr>
              <w:pStyle w:val="Compact"/>
              <w:jc w:val="right"/>
            </w:pPr>
            <w:r>
              <w:t xml:space="preserve">20%–24%</w:t>
            </w:r>
          </w:p>
        </w:tc>
        <w:tc>
          <w:tcPr/>
          <w:p>
            <w:pPr>
              <w:pStyle w:val="Compact"/>
              <w:jc w:val="right"/>
            </w:pPr>
            <w:r>
              <w:t xml:space="preserve">22%</w:t>
            </w:r>
          </w:p>
        </w:tc>
        <w:tc>
          <w:tcPr/>
          <w:p>
            <w:pPr>
              <w:pStyle w:val="Compact"/>
              <w:jc w:val="right"/>
            </w:pPr>
            <w:r>
              <w:t xml:space="preserve">—</w:t>
            </w:r>
          </w:p>
        </w:tc>
      </w:tr>
      <w:tr>
        <w:tc>
          <w:tcPr/>
          <w:p>
            <w:pPr>
              <w:pStyle w:val="Compact"/>
            </w:pPr>
            <w:r>
              <w:t xml:space="preserve">Adjusted operating profit</w:t>
            </w:r>
          </w:p>
        </w:tc>
        <w:tc>
          <w:tcPr/>
          <w:p>
            <w:pPr>
              <w:pStyle w:val="Compact"/>
              <w:jc w:val="right"/>
            </w:pPr>
            <m:oMath>
              <m:r>
                <m:t>690</m:t>
              </m:r>
              <m:r>
                <m:t>M</m:t>
              </m:r>
              <m:r>
                <m:rPr>
                  <m:sty m:val="p"/>
                </m:rPr>
                <m:t>–</m:t>
              </m:r>
            </m:oMath>
            <w:r>
              <w:t xml:space="preserve">730M</w:t>
            </w:r>
          </w:p>
        </w:tc>
        <w:tc>
          <w:tcPr/>
          <w:p>
            <w:pPr>
              <w:pStyle w:val="Compact"/>
              <w:jc w:val="right"/>
            </w:pPr>
            <w:r>
              <w:t xml:space="preserve">$710M</w:t>
            </w:r>
          </w:p>
        </w:tc>
        <w:tc>
          <w:tcPr/>
          <w:p>
            <w:pPr>
              <w:pStyle w:val="Compact"/>
              <w:jc w:val="right"/>
            </w:pPr>
            <w:r>
              <w:t xml:space="preserve">—</w:t>
            </w:r>
          </w:p>
        </w:tc>
      </w:tr>
      <w:tr>
        <w:tc>
          <w:tcPr/>
          <w:p>
            <w:pPr>
              <w:pStyle w:val="Compact"/>
            </w:pPr>
            <w:r>
              <w:t xml:space="preserve">Adjusted operating margin</w:t>
            </w:r>
          </w:p>
        </w:tc>
        <w:tc>
          <w:tcPr/>
          <w:p>
            <w:pPr>
              <w:pStyle w:val="Compact"/>
              <w:jc w:val="right"/>
            </w:pPr>
            <w:r>
              <w:t xml:space="preserve">20.7%–21.7%</w:t>
            </w:r>
          </w:p>
        </w:tc>
        <w:tc>
          <w:tcPr/>
          <w:p>
            <w:pPr>
              <w:pStyle w:val="Compact"/>
              <w:jc w:val="right"/>
            </w:pPr>
            <w:r>
              <w:t xml:space="preserve">21.2%</w:t>
            </w:r>
          </w:p>
        </w:tc>
        <w:tc>
          <w:tcPr/>
          <w:p>
            <w:pPr>
              <w:pStyle w:val="Compact"/>
              <w:jc w:val="right"/>
            </w:pPr>
            <w:r>
              <w:rPr>
                <w:b/>
                <w:bCs/>
              </w:rPr>
              <w:t xml:space="preserve">~21.6%</w:t>
            </w:r>
          </w:p>
        </w:tc>
      </w:tr>
      <w:tr>
        <w:tc>
          <w:tcPr/>
          <w:p>
            <w:pPr>
              <w:pStyle w:val="Compact"/>
            </w:pPr>
            <w:r>
              <w:t xml:space="preserve">Adjusted EPS</w:t>
            </w:r>
          </w:p>
        </w:tc>
        <w:tc>
          <w:tcPr/>
          <w:p>
            <w:pPr>
              <w:pStyle w:val="Compact"/>
              <w:jc w:val="right"/>
            </w:pPr>
            <m:oMath>
              <m:r>
                <m:t>1.37</m:t>
              </m:r>
              <m:r>
                <m:rPr>
                  <m:sty m:val="p"/>
                </m:rPr>
                <m:t>–</m:t>
              </m:r>
            </m:oMath>
            <w:r>
              <w:t xml:space="preserve">1.43</w:t>
            </w:r>
          </w:p>
        </w:tc>
        <w:tc>
          <w:tcPr/>
          <w:p>
            <w:pPr>
              <w:pStyle w:val="Compact"/>
              <w:jc w:val="right"/>
            </w:pPr>
            <w:r>
              <w:t xml:space="preserve">$1.40</w:t>
            </w:r>
          </w:p>
        </w:tc>
        <w:tc>
          <w:tcPr/>
          <w:p>
            <w:pPr>
              <w:pStyle w:val="Compact"/>
              <w:jc w:val="right"/>
            </w:pPr>
            <w:r>
              <w:rPr>
                <w:b/>
                <w:bCs/>
              </w:rPr>
              <w:t xml:space="preserve">$1.43</w:t>
            </w:r>
          </w:p>
        </w:tc>
      </w:tr>
    </w:tbl>
    <w:p>
      <w:pPr>
        <w:pStyle w:val="BodyText"/>
      </w:pPr>
      <w:r>
        <w:t xml:space="preserve">The key message from this setup:</w:t>
      </w:r>
      <w:r>
        <w:t xml:space="preserve"> </w:t>
      </w:r>
      <w:r>
        <w:rPr>
          <w:b/>
          <w:bCs/>
        </w:rPr>
        <w:t xml:space="preserve">consensus is already at the top end of EPS guidance</w:t>
      </w:r>
      <w:r>
        <w:t xml:space="preserve"> </w:t>
      </w:r>
      <w:r>
        <w:t xml:space="preserve">and modestly above the revenue midpoint. A reported EPS beat alone may not be enough; investors will focus on the quality and durability of the beat—particularly organic growth, margins, orders/pipeline commentary, and the full-year guide.</w:t>
      </w:r>
    </w:p>
    <w:p>
      <w:r>
        <w:pict>
          <v:rect style="width:0;height:1.5pt" o:hralign="center" o:hrstd="t" o:hr="t"/>
        </w:pict>
      </w:r>
    </w:p>
    <w:bookmarkEnd w:id="10"/>
    <w:bookmarkStart w:id="14" w:name="why-the-quarter-should-be-strong"/>
    <w:p>
      <w:pPr>
        <w:pStyle w:val="Heading2"/>
      </w:pPr>
      <w:r>
        <w:t xml:space="preserve">Why the quarter should be strong</w:t>
      </w:r>
    </w:p>
    <w:bookmarkStart w:id="11" w:name="X8d6c38d0d29d8110d89737efd8b53d59da28b33"/>
    <w:p>
      <w:pPr>
        <w:pStyle w:val="Heading3"/>
      </w:pPr>
      <w:r>
        <w:t xml:space="preserve">1. AI-data-center demand remains the primary growth engine</w:t>
      </w:r>
    </w:p>
    <w:p>
      <w:pPr>
        <w:pStyle w:val="FirstParagraph"/>
      </w:pPr>
      <w:r>
        <w:t xml:space="preserve">In 1Q26, Vertiv delivered:</w:t>
      </w:r>
    </w:p>
    <w:p>
      <w:pPr>
        <w:pStyle w:val="Compact"/>
        <w:numPr>
          <w:ilvl w:val="0"/>
          <w:numId w:val="1001"/>
        </w:numPr>
      </w:pPr>
      <w:r>
        <w:rPr>
          <w:b/>
          <w:bCs/>
        </w:rPr>
        <w:t xml:space="preserve">Revenue of $2.65B</w:t>
      </w:r>
      <w:r>
        <w:t xml:space="preserve">, up 30% year over year;</w:t>
      </w:r>
    </w:p>
    <w:p>
      <w:pPr>
        <w:pStyle w:val="Compact"/>
        <w:numPr>
          <w:ilvl w:val="0"/>
          <w:numId w:val="1001"/>
        </w:numPr>
      </w:pPr>
      <w:r>
        <w:rPr>
          <w:b/>
          <w:bCs/>
        </w:rPr>
        <w:t xml:space="preserve">Organic growth of 23%</w:t>
      </w:r>
      <w:r>
        <w:t xml:space="preserve">;</w:t>
      </w:r>
    </w:p>
    <w:p>
      <w:pPr>
        <w:pStyle w:val="Compact"/>
        <w:numPr>
          <w:ilvl w:val="0"/>
          <w:numId w:val="1001"/>
        </w:numPr>
      </w:pPr>
      <w:r>
        <w:rPr>
          <w:b/>
          <w:bCs/>
        </w:rPr>
        <w:t xml:space="preserve">Adjusted operating margin of 20.8%</w:t>
      </w:r>
      <w:r>
        <w:t xml:space="preserve">, up 430 basis points;</w:t>
      </w:r>
    </w:p>
    <w:p>
      <w:pPr>
        <w:pStyle w:val="Compact"/>
        <w:numPr>
          <w:ilvl w:val="0"/>
          <w:numId w:val="1001"/>
        </w:numPr>
      </w:pPr>
      <w:r>
        <w:rPr>
          <w:b/>
          <w:bCs/>
        </w:rPr>
        <w:t xml:space="preserve">Adjusted EPS of $1.17</w:t>
      </w:r>
      <w:r>
        <w:t xml:space="preserve">, up 83%;</w:t>
      </w:r>
    </w:p>
    <w:p>
      <w:pPr>
        <w:pStyle w:val="Compact"/>
        <w:numPr>
          <w:ilvl w:val="0"/>
          <w:numId w:val="1001"/>
        </w:numPr>
      </w:pPr>
      <w:r>
        <w:rPr>
          <w:b/>
          <w:bCs/>
        </w:rPr>
        <w:t xml:space="preserve">Adjusted free cash flow of $653M</w:t>
      </w:r>
      <w:r>
        <w:t xml:space="preserve">, up 147%.</w:t>
      </w:r>
    </w:p>
    <w:p>
      <w:pPr>
        <w:pStyle w:val="FirstParagraph"/>
      </w:pPr>
      <w:r>
        <w:t xml:space="preserve">Americas organic growth was an extraordinary</w:t>
      </w:r>
      <w:r>
        <w:t xml:space="preserve"> </w:t>
      </w:r>
      <w:r>
        <w:rPr>
          <w:b/>
          <w:bCs/>
        </w:rPr>
        <w:t xml:space="preserve">44%</w:t>
      </w:r>
      <w:r>
        <w:t xml:space="preserve"> </w:t>
      </w:r>
      <w:r>
        <w:t xml:space="preserve">in 1Q, led by demand for power, cooling, integrated systems, and services. Management described the commercial pipeline as robust and broad-based, with customer projects getting larger, more complex, and more time-sensitive.</w:t>
      </w:r>
    </w:p>
    <w:p>
      <w:pPr>
        <w:pStyle w:val="BodyText"/>
      </w:pPr>
      <w:r>
        <w:t xml:space="preserve">For 2Q, the central question is whether these dynamics held through the quarter—and whether capacity additions allowed Vertiv to convert demand into revenue without creating greater-than-expected manufacturing inefficiency or margin dilution.</w:t>
      </w:r>
    </w:p>
    <w:bookmarkEnd w:id="11"/>
    <w:bookmarkStart w:id="12" w:name="Xbdd1d9a30a99101e0452a3c1c96cf11e32f9085"/>
    <w:p>
      <w:pPr>
        <w:pStyle w:val="Heading3"/>
      </w:pPr>
      <w:r>
        <w:t xml:space="preserve">2. The company’s guide implies another substantial step-up in earnings</w:t>
      </w:r>
    </w:p>
    <w:p>
      <w:pPr>
        <w:pStyle w:val="FirstParagraph"/>
      </w:pPr>
      <w:r>
        <w:t xml:space="preserve">At the midpoint of its April outlook, Vertiv anticipated:</w:t>
      </w:r>
    </w:p>
    <w:p>
      <w:pPr>
        <w:pStyle w:val="Compact"/>
        <w:numPr>
          <w:ilvl w:val="0"/>
          <w:numId w:val="1002"/>
        </w:numPr>
      </w:pPr>
      <w:r>
        <w:rPr>
          <w:b/>
          <w:bCs/>
        </w:rPr>
        <w:t xml:space="preserve">27% reported sales growth</w:t>
      </w:r>
      <w:r>
        <w:t xml:space="preserve"> </w:t>
      </w:r>
      <w:r>
        <w:t xml:space="preserve">in 2Q;</w:t>
      </w:r>
    </w:p>
    <w:p>
      <w:pPr>
        <w:pStyle w:val="Compact"/>
        <w:numPr>
          <w:ilvl w:val="0"/>
          <w:numId w:val="1002"/>
        </w:numPr>
      </w:pPr>
      <w:r>
        <w:rPr>
          <w:b/>
          <w:bCs/>
        </w:rPr>
        <w:t xml:space="preserve">~47% adjusted EPS growth</w:t>
      </w:r>
      <w:r>
        <w:t xml:space="preserve">;</w:t>
      </w:r>
    </w:p>
    <w:p>
      <w:pPr>
        <w:pStyle w:val="Compact"/>
        <w:numPr>
          <w:ilvl w:val="0"/>
          <w:numId w:val="1002"/>
        </w:numPr>
      </w:pPr>
      <w:r>
        <w:rPr>
          <w:b/>
          <w:bCs/>
        </w:rPr>
        <w:t xml:space="preserve">~270 basis points of adjusted margin expansion</w:t>
      </w:r>
      <w:r>
        <w:t xml:space="preserve">.</w:t>
      </w:r>
    </w:p>
    <w:p>
      <w:pPr>
        <w:pStyle w:val="FirstParagraph"/>
      </w:pPr>
      <w:r>
        <w:t xml:space="preserve">Those are already exceptional figures for an industrial technology company of Vertiv’s size. More important, the company’s full-year guidance implied acceleration in the second half, driven by capacity additions, backlog conversion, improving international demand, and an expanding mix of larger data-center infrastructure projects.</w:t>
      </w:r>
    </w:p>
    <w:bookmarkEnd w:id="12"/>
    <w:bookmarkStart w:id="13" w:name="X001f76776a888a07fb1ba72ae2e36912d20c0e7"/>
    <w:p>
      <w:pPr>
        <w:pStyle w:val="Heading3"/>
      </w:pPr>
      <w:r>
        <w:t xml:space="preserve">3. The AI architecture transition expands Vertiv’s content opportunity</w:t>
      </w:r>
    </w:p>
    <w:p>
      <w:pPr>
        <w:pStyle w:val="FirstParagraph"/>
      </w:pPr>
      <w:r>
        <w:t xml:space="preserve">Vertiv’s investment conference sharpened the long-term bull case. The company is positioning its portfolio around the requirements of increasingly dense AI clusters:</w:t>
      </w:r>
    </w:p>
    <w:p>
      <w:pPr>
        <w:pStyle w:val="Compact"/>
        <w:numPr>
          <w:ilvl w:val="0"/>
          <w:numId w:val="1003"/>
        </w:numPr>
      </w:pPr>
      <w:r>
        <w:rPr>
          <w:b/>
          <w:bCs/>
        </w:rPr>
        <w:t xml:space="preserve">Liquid cooling</w:t>
      </w:r>
      <w:r>
        <w:t xml:space="preserve"> </w:t>
      </w:r>
      <w:r>
        <w:t xml:space="preserve">and liquid-loop management;</w:t>
      </w:r>
    </w:p>
    <w:p>
      <w:pPr>
        <w:pStyle w:val="Compact"/>
        <w:numPr>
          <w:ilvl w:val="0"/>
          <w:numId w:val="1003"/>
        </w:numPr>
      </w:pPr>
      <w:r>
        <w:t xml:space="preserve">Higher-power thermal infrastructure and heat-rejection equipment;</w:t>
      </w:r>
    </w:p>
    <w:p>
      <w:pPr>
        <w:pStyle w:val="Compact"/>
        <w:numPr>
          <w:ilvl w:val="0"/>
          <w:numId w:val="1003"/>
        </w:numPr>
      </w:pPr>
      <w:r>
        <w:rPr>
          <w:b/>
          <w:bCs/>
        </w:rPr>
        <w:t xml:space="preserve">800-volt DC</w:t>
      </w:r>
      <w:r>
        <w:t xml:space="preserve"> </w:t>
      </w:r>
      <w:r>
        <w:t xml:space="preserve">power architectures for future high-density racks;</w:t>
      </w:r>
    </w:p>
    <w:p>
      <w:pPr>
        <w:pStyle w:val="Compact"/>
        <w:numPr>
          <w:ilvl w:val="0"/>
          <w:numId w:val="1003"/>
        </w:numPr>
      </w:pPr>
      <w:r>
        <w:t xml:space="preserve">Energy storage and medium-voltage power solutions;</w:t>
      </w:r>
    </w:p>
    <w:p>
      <w:pPr>
        <w:pStyle w:val="Compact"/>
        <w:numPr>
          <w:ilvl w:val="0"/>
          <w:numId w:val="1003"/>
        </w:numPr>
      </w:pPr>
      <w:r>
        <w:t xml:space="preserve">Prefabricated and converged systems such as</w:t>
      </w:r>
      <w:r>
        <w:t xml:space="preserve"> </w:t>
      </w:r>
      <w:r>
        <w:rPr>
          <w:b/>
          <w:bCs/>
        </w:rPr>
        <w:t xml:space="preserve">SmartRun</w:t>
      </w:r>
      <w:r>
        <w:t xml:space="preserve"> </w:t>
      </w:r>
      <w:r>
        <w:t xml:space="preserve">and</w:t>
      </w:r>
      <w:r>
        <w:t xml:space="preserve"> </w:t>
      </w:r>
      <w:r>
        <w:rPr>
          <w:b/>
          <w:bCs/>
        </w:rPr>
        <w:t xml:space="preserve">OneCore</w:t>
      </w:r>
      <w:r>
        <w:t xml:space="preserve">;</w:t>
      </w:r>
    </w:p>
    <w:p>
      <w:pPr>
        <w:pStyle w:val="Compact"/>
        <w:numPr>
          <w:ilvl w:val="0"/>
          <w:numId w:val="1003"/>
        </w:numPr>
      </w:pPr>
      <w:r>
        <w:t xml:space="preserve">Services required to commission, manage, flush/fill, and maintain mission-critical cooling systems.</w:t>
      </w:r>
    </w:p>
    <w:p>
      <w:pPr>
        <w:pStyle w:val="FirstParagraph"/>
      </w:pPr>
      <w:r>
        <w:t xml:space="preserve">This matters because the transition to more complex AI factories is not merely a unit-growth story. It potentially supports</w:t>
      </w:r>
      <w:r>
        <w:t xml:space="preserve"> </w:t>
      </w:r>
      <w:r>
        <w:rPr>
          <w:b/>
          <w:bCs/>
        </w:rPr>
        <w:t xml:space="preserve">greater Vertiv content per megawatt</w:t>
      </w:r>
      <w:r>
        <w:t xml:space="preserve">, deeper customer integration, and a larger recurring service opportunity.</w:t>
      </w:r>
    </w:p>
    <w:p>
      <w:r>
        <w:pict>
          <v:rect style="width:0;height:1.5pt" o:hralign="center" o:hrstd="t" o:hr="t"/>
        </w:pict>
      </w:r>
    </w:p>
    <w:bookmarkEnd w:id="13"/>
    <w:bookmarkEnd w:id="14"/>
    <w:bookmarkStart w:id="21" w:name="the-issues-that-matter-most-on-the-call"/>
    <w:p>
      <w:pPr>
        <w:pStyle w:val="Heading2"/>
      </w:pPr>
      <w:r>
        <w:t xml:space="preserve">The issues that matter most on the call</w:t>
      </w:r>
    </w:p>
    <w:bookmarkStart w:id="15" w:name="X426dd1bf174b2c51225113a71091b5a08b80470"/>
    <w:p>
      <w:pPr>
        <w:pStyle w:val="Heading3"/>
      </w:pPr>
      <w:r>
        <w:t xml:space="preserve">1. Full-year 2026 guidance: maintain, raise, or merely de-risk?</w:t>
      </w:r>
    </w:p>
    <w:p>
      <w:pPr>
        <w:pStyle w:val="FirstParagraph"/>
      </w:pPr>
      <w:r>
        <w:t xml:space="preserve">Vertiv’s current full-year outlook calls for:</w:t>
      </w:r>
    </w:p>
    <w:p>
      <w:pPr>
        <w:pStyle w:val="Compact"/>
        <w:numPr>
          <w:ilvl w:val="0"/>
          <w:numId w:val="1004"/>
        </w:numPr>
      </w:pPr>
      <w:r>
        <w:t xml:space="preserve">Revenue of</w:t>
      </w:r>
      <w:r>
        <w:t xml:space="preserve"> </w:t>
      </w:r>
      <m:oMath>
        <m:r>
          <m:t>13.5</m:t>
        </m:r>
        <m:r>
          <m:t>B</m:t>
        </m:r>
        <m:r>
          <m:rPr>
            <m:sty m:val="p"/>
          </m:rPr>
          <m:t>–</m:t>
        </m:r>
      </m:oMath>
      <w:r>
        <w:rPr>
          <w:b/>
          <w:bCs/>
        </w:rPr>
        <w:t xml:space="preserve">14.0B</w:t>
      </w:r>
      <w:r>
        <w:t xml:space="preserve">;</w:t>
      </w:r>
    </w:p>
    <w:p>
      <w:pPr>
        <w:pStyle w:val="Compact"/>
        <w:numPr>
          <w:ilvl w:val="0"/>
          <w:numId w:val="1004"/>
        </w:numPr>
      </w:pPr>
      <w:r>
        <w:t xml:space="preserve">Organic growth of</w:t>
      </w:r>
      <w:r>
        <w:t xml:space="preserve"> </w:t>
      </w:r>
      <w:r>
        <w:rPr>
          <w:b/>
          <w:bCs/>
        </w:rPr>
        <w:t xml:space="preserve">29%–31%</w:t>
      </w:r>
      <w:r>
        <w:t xml:space="preserve">;</w:t>
      </w:r>
    </w:p>
    <w:p>
      <w:pPr>
        <w:pStyle w:val="Compact"/>
        <w:numPr>
          <w:ilvl w:val="0"/>
          <w:numId w:val="1004"/>
        </w:numPr>
      </w:pPr>
      <w:r>
        <w:t xml:space="preserve">Adjusted operating profit of</w:t>
      </w:r>
      <w:r>
        <w:t xml:space="preserve"> </w:t>
      </w:r>
      <m:oMath>
        <m:r>
          <m:t>3.14</m:t>
        </m:r>
        <m:r>
          <m:t>B</m:t>
        </m:r>
        <m:r>
          <m:rPr>
            <m:sty m:val="p"/>
          </m:rPr>
          <m:t>–</m:t>
        </m:r>
      </m:oMath>
      <w:r>
        <w:rPr>
          <w:b/>
          <w:bCs/>
        </w:rPr>
        <w:t xml:space="preserve">3.26B</w:t>
      </w:r>
      <w:r>
        <w:t xml:space="preserve">;</w:t>
      </w:r>
    </w:p>
    <w:p>
      <w:pPr>
        <w:pStyle w:val="Compact"/>
        <w:numPr>
          <w:ilvl w:val="0"/>
          <w:numId w:val="1004"/>
        </w:numPr>
      </w:pPr>
      <w:r>
        <w:t xml:space="preserve">Adjusted operating margin of</w:t>
      </w:r>
      <w:r>
        <w:t xml:space="preserve"> </w:t>
      </w:r>
      <w:r>
        <w:rPr>
          <w:b/>
          <w:bCs/>
        </w:rPr>
        <w:t xml:space="preserve">22.8%–23.8%</w:t>
      </w:r>
      <w:r>
        <w:t xml:space="preserve">;</w:t>
      </w:r>
    </w:p>
    <w:p>
      <w:pPr>
        <w:pStyle w:val="Compact"/>
        <w:numPr>
          <w:ilvl w:val="0"/>
          <w:numId w:val="1004"/>
        </w:numPr>
      </w:pPr>
      <w:r>
        <w:t xml:space="preserve">Adjusted EPS of</w:t>
      </w:r>
      <w:r>
        <w:t xml:space="preserve"> </w:t>
      </w:r>
      <m:oMath>
        <m:r>
          <m:t>6.30</m:t>
        </m:r>
        <m:r>
          <m:rPr>
            <m:sty m:val="p"/>
          </m:rPr>
          <m:t>–</m:t>
        </m:r>
      </m:oMath>
      <w:r>
        <w:rPr>
          <w:b/>
          <w:bCs/>
        </w:rPr>
        <w:t xml:space="preserve">6.40</w:t>
      </w:r>
      <w:r>
        <w:t xml:space="preserve">;</w:t>
      </w:r>
    </w:p>
    <w:p>
      <w:pPr>
        <w:pStyle w:val="Compact"/>
        <w:numPr>
          <w:ilvl w:val="0"/>
          <w:numId w:val="1004"/>
        </w:numPr>
      </w:pPr>
      <w:r>
        <w:t xml:space="preserve">Adjusted free cash flow of</w:t>
      </w:r>
      <w:r>
        <w:t xml:space="preserve"> </w:t>
      </w:r>
      <m:oMath>
        <m:r>
          <m:t>2.1</m:t>
        </m:r>
        <m:r>
          <m:t>B</m:t>
        </m:r>
        <m:r>
          <m:rPr>
            <m:sty m:val="p"/>
          </m:rPr>
          <m:t>–</m:t>
        </m:r>
      </m:oMath>
      <w:r>
        <w:rPr>
          <w:b/>
          <w:bCs/>
        </w:rPr>
        <w:t xml:space="preserve">2.3B</w:t>
      </w:r>
      <w:r>
        <w:t xml:space="preserve">.</w:t>
      </w:r>
    </w:p>
    <w:p>
      <w:pPr>
        <w:pStyle w:val="FirstParagraph"/>
      </w:pPr>
      <w:r>
        <w:t xml:space="preserve">The most consequential outcome would be a raise to the top line and EPS range, or at least commentary indicating that the company has substantially improved visibility into the upper half of the range.</w:t>
      </w:r>
    </w:p>
    <w:p>
      <w:pPr>
        <w:pStyle w:val="BodyText"/>
      </w:pPr>
      <w:r>
        <w:t xml:space="preserve">A simple reiteration may be viewed as conservative management behavior, but it could still disappoint a market expecting a continuation of the 1Q upside cadence.</w:t>
      </w:r>
    </w:p>
    <w:bookmarkEnd w:id="15"/>
    <w:bookmarkStart w:id="16" w:name="X9ae73b1068057b13eef0872fa28e462d4e383e3"/>
    <w:p>
      <w:pPr>
        <w:pStyle w:val="Heading3"/>
      </w:pPr>
      <w:r>
        <w:t xml:space="preserve">2. Organic growth and the Americas demand signal</w:t>
      </w:r>
    </w:p>
    <w:p>
      <w:pPr>
        <w:pStyle w:val="FirstParagraph"/>
      </w:pPr>
      <w:r>
        <w:t xml:space="preserve">Investors should focus less on reported revenue—which can be affected by FX and acquisitions—and more on</w:t>
      </w:r>
      <w:r>
        <w:t xml:space="preserve"> </w:t>
      </w:r>
      <w:r>
        <w:rPr>
          <w:b/>
          <w:bCs/>
        </w:rPr>
        <w:t xml:space="preserve">organic growth</w:t>
      </w:r>
      <w:r>
        <w:t xml:space="preserve">, especially in the Americas. The 1Q Americas growth rate of 44% was extraordinary and likely not a sustainable quarterly comparison indefinitely.</w:t>
      </w:r>
    </w:p>
    <w:p>
      <w:pPr>
        <w:pStyle w:val="BodyText"/>
      </w:pPr>
      <w:r>
        <w:t xml:space="preserve">The relevant question is whether the company can maintain growth in the high-20s or better while preserving its view that the broader AI infrastructure buildout remains in its early stages.</w:t>
      </w:r>
    </w:p>
    <w:p>
      <w:pPr>
        <w:pStyle w:val="BodyText"/>
      </w:pPr>
      <w:r>
        <w:t xml:space="preserve">A deceleration is expected mathematically over time; a sharp slowdown, weaker pipeline commentary, or signs of project deferrals would be more concerning.</w:t>
      </w:r>
    </w:p>
    <w:bookmarkEnd w:id="16"/>
    <w:bookmarkStart w:id="17" w:name="Xf7207459a1d06e915bc1dac47c336c62fab6e33"/>
    <w:p>
      <w:pPr>
        <w:pStyle w:val="Heading3"/>
      </w:pPr>
      <w:r>
        <w:t xml:space="preserve">3. Margin performance while capacity ramps</w:t>
      </w:r>
    </w:p>
    <w:p>
      <w:pPr>
        <w:pStyle w:val="FirstParagraph"/>
      </w:pPr>
      <w:r>
        <w:t xml:space="preserve">Management previously cautioned that 2Q would include a meaningful capacity ramp, which creates some temporary pressure on sequential incrementals. The company nevertheless guided to a 21.2% adjusted operating-margin midpoint, with consensus near 21.6%.</w:t>
      </w:r>
    </w:p>
    <w:p>
      <w:pPr>
        <w:pStyle w:val="BodyText"/>
      </w:pPr>
      <w:r>
        <w:t xml:space="preserve">Investors will want to hear that:</w:t>
      </w:r>
    </w:p>
    <w:p>
      <w:pPr>
        <w:pStyle w:val="Compact"/>
        <w:numPr>
          <w:ilvl w:val="0"/>
          <w:numId w:val="1005"/>
        </w:numPr>
      </w:pPr>
      <w:r>
        <w:t xml:space="preserve">Fixed-cost leverage remains intact;</w:t>
      </w:r>
    </w:p>
    <w:p>
      <w:pPr>
        <w:pStyle w:val="Compact"/>
        <w:numPr>
          <w:ilvl w:val="0"/>
          <w:numId w:val="1005"/>
        </w:numPr>
      </w:pPr>
      <w:r>
        <w:t xml:space="preserve">Price-cost remains favorable;</w:t>
      </w:r>
    </w:p>
    <w:p>
      <w:pPr>
        <w:pStyle w:val="Compact"/>
        <w:numPr>
          <w:ilvl w:val="0"/>
          <w:numId w:val="1005"/>
        </w:numPr>
      </w:pPr>
      <w:r>
        <w:t xml:space="preserve">Tariff mitigation is working;</w:t>
      </w:r>
    </w:p>
    <w:p>
      <w:pPr>
        <w:pStyle w:val="Compact"/>
        <w:numPr>
          <w:ilvl w:val="0"/>
          <w:numId w:val="1005"/>
        </w:numPr>
      </w:pPr>
      <w:r>
        <w:t xml:space="preserve">Capacity additions are being absorbed efficiently;</w:t>
      </w:r>
    </w:p>
    <w:p>
      <w:pPr>
        <w:pStyle w:val="Compact"/>
        <w:numPr>
          <w:ilvl w:val="0"/>
          <w:numId w:val="1005"/>
        </w:numPr>
      </w:pPr>
      <w:r>
        <w:t xml:space="preserve">The company still sees roughly</w:t>
      </w:r>
      <w:r>
        <w:t xml:space="preserve"> </w:t>
      </w:r>
      <w:r>
        <w:rPr>
          <w:b/>
          <w:bCs/>
        </w:rPr>
        <w:t xml:space="preserve">30%–35% incremental margins</w:t>
      </w:r>
      <w:r>
        <w:t xml:space="preserve"> </w:t>
      </w:r>
      <w:r>
        <w:t xml:space="preserve">over the full year.</w:t>
      </w:r>
    </w:p>
    <w:p>
      <w:pPr>
        <w:pStyle w:val="FirstParagraph"/>
      </w:pPr>
      <w:r>
        <w:t xml:space="preserve">Margins above the high end of guidance would reinforce the case that Vertiv’s operating model has structurally improved. Conversely, a miss could prompt questions about whether growth investments, capacity buildout, tariffs, or project mix are creating a more persistent drag.</w:t>
      </w:r>
    </w:p>
    <w:bookmarkEnd w:id="17"/>
    <w:bookmarkStart w:id="18" w:name="X09f5a61965200af92ba0d40219227027d93cc3f"/>
    <w:p>
      <w:pPr>
        <w:pStyle w:val="Heading3"/>
      </w:pPr>
      <w:r>
        <w:t xml:space="preserve">4. EMEA’s expected second-half recovery</w:t>
      </w:r>
    </w:p>
    <w:p>
      <w:pPr>
        <w:pStyle w:val="FirstParagraph"/>
      </w:pPr>
      <w:r>
        <w:t xml:space="preserve">EMEA was the weak point in 1Q, with organic sales down</w:t>
      </w:r>
      <w:r>
        <w:t xml:space="preserve"> </w:t>
      </w:r>
      <w:r>
        <w:rPr>
          <w:b/>
          <w:bCs/>
        </w:rPr>
        <w:t xml:space="preserve">29%</w:t>
      </w:r>
      <w:r>
        <w:t xml:space="preserve">, reflecting softer order activity in mid-2025. Management argued that this was temporary and pointed to improved bookings, stronger pipeline activity, and an expected return to year-over-year sales growth in the second half.</w:t>
      </w:r>
    </w:p>
    <w:p>
      <w:pPr>
        <w:pStyle w:val="BodyText"/>
      </w:pPr>
      <w:r>
        <w:t xml:space="preserve">This is important because the full-year outlook embeds improvement in EMEA. Investors should watch for evidence that the “coiled spring” thesis is progressing:</w:t>
      </w:r>
    </w:p>
    <w:p>
      <w:pPr>
        <w:pStyle w:val="Compact"/>
        <w:numPr>
          <w:ilvl w:val="0"/>
          <w:numId w:val="1006"/>
        </w:numPr>
      </w:pPr>
      <w:r>
        <w:t xml:space="preserve">Are orders and project activity continuing to improve?</w:t>
      </w:r>
    </w:p>
    <w:p>
      <w:pPr>
        <w:pStyle w:val="Compact"/>
        <w:numPr>
          <w:ilvl w:val="0"/>
          <w:numId w:val="1006"/>
        </w:numPr>
      </w:pPr>
      <w:r>
        <w:t xml:space="preserve">Is the company still confident in second-half revenue growth?</w:t>
      </w:r>
    </w:p>
    <w:p>
      <w:pPr>
        <w:pStyle w:val="Compact"/>
        <w:numPr>
          <w:ilvl w:val="0"/>
          <w:numId w:val="1006"/>
        </w:numPr>
      </w:pPr>
      <w:r>
        <w:t xml:space="preserve">Does the June acquisition of</w:t>
      </w:r>
      <w:r>
        <w:t xml:space="preserve"> </w:t>
      </w:r>
      <w:r>
        <w:rPr>
          <w:b/>
          <w:bCs/>
        </w:rPr>
        <w:t xml:space="preserve">ThermoKey</w:t>
      </w:r>
      <w:r>
        <w:t xml:space="preserve"> </w:t>
      </w:r>
      <w:r>
        <w:t xml:space="preserve">strengthen both capacity and competitive positioning in the region?</w:t>
      </w:r>
    </w:p>
    <w:bookmarkEnd w:id="18"/>
    <w:bookmarkStart w:id="19" w:name="Xa39bc9abe25bb36ec225af136ab831f159a0c11"/>
    <w:p>
      <w:pPr>
        <w:pStyle w:val="Heading3"/>
      </w:pPr>
      <w:r>
        <w:t xml:space="preserve">5. Backlog, orders, project timing, and 2027 visibility</w:t>
      </w:r>
    </w:p>
    <w:p>
      <w:pPr>
        <w:pStyle w:val="FirstParagraph"/>
      </w:pPr>
      <w:r>
        <w:t xml:space="preserve">Vertiv does not disclose quarterly orders in detail, but management’s qualitative remarks will be central. In April, it said the pipeline was robust and broad-based, expected orders to rise year over year in 2026, and noted that backlog had become somewhat more elongated—supporting better visibility into 2027.</w:t>
      </w:r>
    </w:p>
    <w:p>
      <w:pPr>
        <w:pStyle w:val="BodyText"/>
      </w:pPr>
      <w:r>
        <w:t xml:space="preserve">Key watch items:</w:t>
      </w:r>
    </w:p>
    <w:p>
      <w:pPr>
        <w:pStyle w:val="Compact"/>
        <w:numPr>
          <w:ilvl w:val="0"/>
          <w:numId w:val="1007"/>
        </w:numPr>
      </w:pPr>
      <w:r>
        <w:t xml:space="preserve">Demand from hyperscalers, colocation providers, and neocloud customers;</w:t>
      </w:r>
    </w:p>
    <w:p>
      <w:pPr>
        <w:pStyle w:val="Compact"/>
        <w:numPr>
          <w:ilvl w:val="0"/>
          <w:numId w:val="1007"/>
        </w:numPr>
      </w:pPr>
      <w:r>
        <w:t xml:space="preserve">Customer-requested delivery windows;</w:t>
      </w:r>
    </w:p>
    <w:p>
      <w:pPr>
        <w:pStyle w:val="Compact"/>
        <w:numPr>
          <w:ilvl w:val="0"/>
          <w:numId w:val="1007"/>
        </w:numPr>
      </w:pPr>
      <w:r>
        <w:t xml:space="preserve">Whether large projects are moving from planning into deployment;</w:t>
      </w:r>
    </w:p>
    <w:p>
      <w:pPr>
        <w:pStyle w:val="Compact"/>
        <w:numPr>
          <w:ilvl w:val="0"/>
          <w:numId w:val="1007"/>
        </w:numPr>
      </w:pPr>
      <w:r>
        <w:t xml:space="preserve">Any signs that customers are delaying projects because of power availability, construction bottlenecks, or changing AI-capex priorities;</w:t>
      </w:r>
    </w:p>
    <w:p>
      <w:pPr>
        <w:pStyle w:val="Compact"/>
        <w:numPr>
          <w:ilvl w:val="0"/>
          <w:numId w:val="1007"/>
        </w:numPr>
      </w:pPr>
      <w:r>
        <w:t xml:space="preserve">Visibility into the 2027 transition toward higher-density and 800-volt DC architectures.</w:t>
      </w:r>
    </w:p>
    <w:bookmarkEnd w:id="19"/>
    <w:bookmarkStart w:id="20" w:name="X556a9d732a7ef59572dbec140446bf655fb5e6a"/>
    <w:p>
      <w:pPr>
        <w:pStyle w:val="Heading3"/>
      </w:pPr>
      <w:r>
        <w:t xml:space="preserve">6. Cash flow and working capital</w:t>
      </w:r>
    </w:p>
    <w:p>
      <w:pPr>
        <w:pStyle w:val="FirstParagraph"/>
      </w:pPr>
      <w:r>
        <w:t xml:space="preserve">Vertiv generated unusually strong 1Q free cash flow, helped by higher profit and customer advances. Full-year adjusted free-cash-flow guidance remained at</w:t>
      </w:r>
      <w:r>
        <w:t xml:space="preserve"> </w:t>
      </w:r>
      <m:oMath>
        <m:r>
          <m:t>2.1</m:t>
        </m:r>
        <m:r>
          <m:t>B</m:t>
        </m:r>
        <m:r>
          <m:rPr>
            <m:sty m:val="p"/>
          </m:rPr>
          <m:t>–</m:t>
        </m:r>
      </m:oMath>
      <w:r>
        <w:rPr>
          <w:b/>
          <w:bCs/>
        </w:rPr>
        <w:t xml:space="preserve">2.3B</w:t>
      </w:r>
      <w:r>
        <w:t xml:space="preserve">, despite the earnings-guide increase, because the company expects higher cash taxes and continued investment in inventory, capacity, and R&amp;D.</w:t>
      </w:r>
    </w:p>
    <w:p>
      <w:pPr>
        <w:pStyle w:val="BodyText"/>
      </w:pPr>
      <w:r>
        <w:t xml:space="preserve">The market should be comfortable with a moderation in quarterly cash conversion if it reflects growth investment. Still, investors will want to see that the business continues to receive customer deposits, manage inventory responsibly, and fund expansion without stretching the balance sheet. Net leverage ended 1Q at only about</w:t>
      </w:r>
      <w:r>
        <w:t xml:space="preserve"> </w:t>
      </w:r>
      <w:r>
        <w:rPr>
          <w:b/>
          <w:bCs/>
        </w:rPr>
        <w:t xml:space="preserve">0.2x</w:t>
      </w:r>
      <w:r>
        <w:t xml:space="preserve">, leaving substantial flexibility for bolt-on M&amp;A and capacity investment.</w:t>
      </w:r>
    </w:p>
    <w:p>
      <w:r>
        <w:pict>
          <v:rect style="width:0;height:1.5pt" o:hralign="center" o:hrstd="t" o:hr="t"/>
        </w:pict>
      </w:r>
    </w:p>
    <w:bookmarkEnd w:id="20"/>
    <w:bookmarkEnd w:id="21"/>
    <w:bookmarkStart w:id="25" w:name="potential-catalysts"/>
    <w:p>
      <w:pPr>
        <w:pStyle w:val="Heading2"/>
      </w:pPr>
      <w:r>
        <w:t xml:space="preserve">Potential catalysts</w:t>
      </w:r>
    </w:p>
    <w:bookmarkStart w:id="22" w:name="bull-case"/>
    <w:p>
      <w:pPr>
        <w:pStyle w:val="Heading3"/>
      </w:pPr>
      <w:r>
        <w:t xml:space="preserve">Bull case</w:t>
      </w:r>
    </w:p>
    <w:p>
      <w:pPr>
        <w:pStyle w:val="FirstParagraph"/>
      </w:pPr>
      <w:r>
        <w:t xml:space="preserve">A constructive outcome would include:</w:t>
      </w:r>
    </w:p>
    <w:p>
      <w:pPr>
        <w:pStyle w:val="Compact"/>
        <w:numPr>
          <w:ilvl w:val="0"/>
          <w:numId w:val="1008"/>
        </w:numPr>
      </w:pPr>
      <w:r>
        <w:t xml:space="preserve">Revenue and EPS above the high end of guidance;</w:t>
      </w:r>
    </w:p>
    <w:p>
      <w:pPr>
        <w:pStyle w:val="Compact"/>
        <w:numPr>
          <w:ilvl w:val="0"/>
          <w:numId w:val="1008"/>
        </w:numPr>
      </w:pPr>
      <w:r>
        <w:t xml:space="preserve">Organic growth at or above the high end of the 20%–24% range;</w:t>
      </w:r>
    </w:p>
    <w:p>
      <w:pPr>
        <w:pStyle w:val="Compact"/>
        <w:numPr>
          <w:ilvl w:val="0"/>
          <w:numId w:val="1008"/>
        </w:numPr>
      </w:pPr>
      <w:r>
        <w:t xml:space="preserve">Adjusted operating margin above consensus;</w:t>
      </w:r>
    </w:p>
    <w:p>
      <w:pPr>
        <w:pStyle w:val="Compact"/>
        <w:numPr>
          <w:ilvl w:val="0"/>
          <w:numId w:val="1008"/>
        </w:numPr>
      </w:pPr>
      <w:r>
        <w:t xml:space="preserve">Raised full-year revenue, EPS, and/or margin outlook;</w:t>
      </w:r>
    </w:p>
    <w:p>
      <w:pPr>
        <w:pStyle w:val="Compact"/>
        <w:numPr>
          <w:ilvl w:val="0"/>
          <w:numId w:val="1008"/>
        </w:numPr>
      </w:pPr>
      <w:r>
        <w:t xml:space="preserve">Continued strong Americas demand and credible EMEA recovery;</w:t>
      </w:r>
    </w:p>
    <w:p>
      <w:pPr>
        <w:pStyle w:val="Compact"/>
        <w:numPr>
          <w:ilvl w:val="0"/>
          <w:numId w:val="1008"/>
        </w:numPr>
      </w:pPr>
      <w:r>
        <w:t xml:space="preserve">Positive commentary on backlog conversion, pipeline generation, and 2027 project visibility;</w:t>
      </w:r>
    </w:p>
    <w:p>
      <w:pPr>
        <w:pStyle w:val="Compact"/>
        <w:numPr>
          <w:ilvl w:val="0"/>
          <w:numId w:val="1008"/>
        </w:numPr>
      </w:pPr>
      <w:r>
        <w:t xml:space="preserve">Evidence that capacity investments are enabling growth rather than constraining profitability.</w:t>
      </w:r>
    </w:p>
    <w:bookmarkEnd w:id="22"/>
    <w:bookmarkStart w:id="23" w:name="base-case"/>
    <w:p>
      <w:pPr>
        <w:pStyle w:val="Heading3"/>
      </w:pPr>
      <w:r>
        <w:t xml:space="preserve">Base case</w:t>
      </w:r>
    </w:p>
    <w:p>
      <w:pPr>
        <w:pStyle w:val="FirstParagraph"/>
      </w:pPr>
      <w:r>
        <w:t xml:space="preserve">A reasonable base case is:</w:t>
      </w:r>
    </w:p>
    <w:p>
      <w:pPr>
        <w:pStyle w:val="Compact"/>
        <w:numPr>
          <w:ilvl w:val="0"/>
          <w:numId w:val="1009"/>
        </w:numPr>
      </w:pPr>
      <w:r>
        <w:t xml:space="preserve">Revenue near</w:t>
      </w:r>
      <w:r>
        <w:t xml:space="preserve"> </w:t>
      </w:r>
      <m:oMath>
        <m:r>
          <m:t>3.35</m:t>
        </m:r>
        <m:r>
          <m:t>B</m:t>
        </m:r>
        <m:r>
          <m:rPr>
            <m:sty m:val="p"/>
          </m:rPr>
          <m:t>–</m:t>
        </m:r>
      </m:oMath>
      <w:r>
        <w:t xml:space="preserve">3.40B;</w:t>
      </w:r>
    </w:p>
    <w:p>
      <w:pPr>
        <w:pStyle w:val="Compact"/>
        <w:numPr>
          <w:ilvl w:val="0"/>
          <w:numId w:val="1009"/>
        </w:numPr>
      </w:pPr>
      <w:r>
        <w:t xml:space="preserve">Adjusted EPS around $1.43;</w:t>
      </w:r>
    </w:p>
    <w:p>
      <w:pPr>
        <w:pStyle w:val="Compact"/>
        <w:numPr>
          <w:ilvl w:val="0"/>
          <w:numId w:val="1009"/>
        </w:numPr>
      </w:pPr>
      <w:r>
        <w:t xml:space="preserve">Margin near 21.5%;</w:t>
      </w:r>
    </w:p>
    <w:p>
      <w:pPr>
        <w:pStyle w:val="Compact"/>
        <w:numPr>
          <w:ilvl w:val="0"/>
          <w:numId w:val="1009"/>
        </w:numPr>
      </w:pPr>
      <w:r>
        <w:t xml:space="preserve">Full-year guidance maintained, perhaps with a more favorable tone around the upper end;</w:t>
      </w:r>
    </w:p>
    <w:p>
      <w:pPr>
        <w:pStyle w:val="Compact"/>
        <w:numPr>
          <w:ilvl w:val="0"/>
          <w:numId w:val="1009"/>
        </w:numPr>
      </w:pPr>
      <w:r>
        <w:t xml:space="preserve">Ongoing confidence in orders, capacity, and AI-data-center demand.</w:t>
      </w:r>
    </w:p>
    <w:p>
      <w:pPr>
        <w:pStyle w:val="FirstParagraph"/>
      </w:pPr>
      <w:r>
        <w:t xml:space="preserve">This would validate the operating trajectory, though the share-price reaction could be muted if the market had already positioned for a stronger upward revision.</w:t>
      </w:r>
    </w:p>
    <w:bookmarkEnd w:id="23"/>
    <w:bookmarkStart w:id="24" w:name="bear-case"/>
    <w:p>
      <w:pPr>
        <w:pStyle w:val="Heading3"/>
      </w:pPr>
      <w:r>
        <w:t xml:space="preserve">Bear case</w:t>
      </w:r>
    </w:p>
    <w:p>
      <w:pPr>
        <w:pStyle w:val="FirstParagraph"/>
      </w:pPr>
      <w:r>
        <w:t xml:space="preserve">The more concerning setup would be:</w:t>
      </w:r>
    </w:p>
    <w:p>
      <w:pPr>
        <w:pStyle w:val="Compact"/>
        <w:numPr>
          <w:ilvl w:val="0"/>
          <w:numId w:val="1010"/>
        </w:numPr>
      </w:pPr>
      <w:r>
        <w:t xml:space="preserve">Revenue or EPS below the guided range;</w:t>
      </w:r>
    </w:p>
    <w:p>
      <w:pPr>
        <w:pStyle w:val="Compact"/>
        <w:numPr>
          <w:ilvl w:val="0"/>
          <w:numId w:val="1010"/>
        </w:numPr>
      </w:pPr>
      <w:r>
        <w:t xml:space="preserve">A meaningful margin miss;</w:t>
      </w:r>
    </w:p>
    <w:p>
      <w:pPr>
        <w:pStyle w:val="Compact"/>
        <w:numPr>
          <w:ilvl w:val="0"/>
          <w:numId w:val="1010"/>
        </w:numPr>
      </w:pPr>
      <w:r>
        <w:t xml:space="preserve">Slower-than-expected Americas growth;</w:t>
      </w:r>
    </w:p>
    <w:p>
      <w:pPr>
        <w:pStyle w:val="Compact"/>
        <w:numPr>
          <w:ilvl w:val="0"/>
          <w:numId w:val="1010"/>
        </w:numPr>
      </w:pPr>
      <w:r>
        <w:t xml:space="preserve">Less conviction on EMEA’s second-half recovery;</w:t>
      </w:r>
    </w:p>
    <w:p>
      <w:pPr>
        <w:pStyle w:val="Compact"/>
        <w:numPr>
          <w:ilvl w:val="0"/>
          <w:numId w:val="1010"/>
        </w:numPr>
      </w:pPr>
      <w:r>
        <w:t xml:space="preserve">Softer backlog or pipeline commentary;</w:t>
      </w:r>
    </w:p>
    <w:p>
      <w:pPr>
        <w:pStyle w:val="Compact"/>
        <w:numPr>
          <w:ilvl w:val="0"/>
          <w:numId w:val="1010"/>
        </w:numPr>
      </w:pPr>
      <w:r>
        <w:t xml:space="preserve">Evidence of project timing delays;</w:t>
      </w:r>
    </w:p>
    <w:p>
      <w:pPr>
        <w:pStyle w:val="Compact"/>
        <w:numPr>
          <w:ilvl w:val="0"/>
          <w:numId w:val="1010"/>
        </w:numPr>
      </w:pPr>
      <w:r>
        <w:t xml:space="preserve">A full-year guide that is merely maintained because second-half assumptions have become more difficult to achieve.</w:t>
      </w:r>
    </w:p>
    <w:p>
      <w:r>
        <w:pict>
          <v:rect style="width:0;height:1.5pt" o:hralign="center" o:hrstd="t" o:hr="t"/>
        </w:pict>
      </w:r>
    </w:p>
    <w:bookmarkEnd w:id="24"/>
    <w:bookmarkEnd w:id="25"/>
    <w:bookmarkStart w:id="26" w:name="bottom-line"/>
    <w:p>
      <w:pPr>
        <w:pStyle w:val="Heading2"/>
      </w:pPr>
      <w:r>
        <w:t xml:space="preserve">Bottom line</w:t>
      </w:r>
    </w:p>
    <w:p>
      <w:pPr>
        <w:pStyle w:val="FirstParagraph"/>
      </w:pPr>
      <w:r>
        <w:t xml:space="preserve">Vertiv remains a high-quality way to own the AI physical-infrastructure buildout. The company combines exceptional near-term revenue growth with rising margins, strong cash generation, an underlevered balance sheet, and an increasingly differentiated position in integrated power, thermal, prefabricated infrastructure, and services.</w:t>
      </w:r>
    </w:p>
    <w:p>
      <w:pPr>
        <w:pStyle w:val="BodyText"/>
      </w:pPr>
      <w:r>
        <w:t xml:space="preserve">But this is a</w:t>
      </w:r>
      <w:r>
        <w:t xml:space="preserve"> </w:t>
      </w:r>
      <w:r>
        <w:rPr>
          <w:b/>
          <w:bCs/>
        </w:rPr>
        <w:t xml:space="preserve">high-expectations report</w:t>
      </w:r>
      <w:r>
        <w:t xml:space="preserve">. Street estimates sit near the upper end of 2Q guidance, and investors will likely require more than a technical beat. The report’s real verdict will come from the outlook: whether management can demonstrate that robust Americas demand, new capacity, EMEA normalization, and growing AI-infrastructure content support another step-up in 2026 expectations—and maintain credible momentum into 2027.</w:t>
      </w:r>
    </w:p>
    <w:bookmarkEnd w:id="26"/>
    <w:bookmarkEnd w:id="27"/>
    <w:sectPr>
      <w:footnotePr>
        <w:numRestart w:val="eachSect"/>
      </w:footnotePr>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Cambria Math">
    <w:panose1 w:val="02040503050406030204"/>
    <w:charset w:val="00"/>
    <w:family w:val="roman"/>
    <w:pitch w:val="variable"/>
    <w:sig w:usb0="E00002FF" w:usb1="42002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0000A990"/>
    <w:multiLevelType w:val="multilevel"/>
    <w:lvl w:ilvl="0">
      <w:numFmt w:val="bullet"/>
      <w:lvlText w:val=" "/>
      <w:lvlJc w:val="left"/>
      <w:pPr>
        <w:ind w:left="720" w:hanging="360"/>
      </w:pPr>
    </w:lvl>
    <w:lvl w:ilvl="1">
      <w:numFmt w:val="bullet"/>
      <w:lvlText w:val=" "/>
      <w:lvlJc w:val="left"/>
      <w:pPr>
        <w:ind w:left="1440" w:hanging="360"/>
      </w:pPr>
    </w:lvl>
    <w:lvl w:ilvl="2">
      <w:numFmt w:val="bullet"/>
      <w:lvlText w:val=" "/>
      <w:lvlJc w:val="left"/>
      <w:pPr>
        <w:ind w:left="2160" w:hanging="360"/>
      </w:pPr>
    </w:lvl>
    <w:lvl w:ilvl="3">
      <w:numFmt w:val="bullet"/>
      <w:lvlText w:val=" "/>
      <w:lvlJc w:val="left"/>
      <w:pPr>
        <w:ind w:left="2880" w:hanging="360"/>
      </w:pPr>
    </w:lvl>
    <w:lvl w:ilvl="4">
      <w:numFmt w:val="bullet"/>
      <w:lvlText w:val=" "/>
      <w:lvlJc w:val="left"/>
      <w:pPr>
        <w:ind w:left="3600" w:hanging="360"/>
      </w:pPr>
    </w:lvl>
    <w:lvl w:ilvl="5">
      <w:numFmt w:val="bullet"/>
      <w:lvlText w:val=" "/>
      <w:lvlJc w:val="left"/>
      <w:pPr>
        <w:ind w:left="4320" w:hanging="360"/>
      </w:pPr>
    </w:lvl>
    <w:lvl w:ilvl="6">
      <w:numFmt w:val="bullet"/>
      <w:lvlText w:val=" "/>
      <w:lvlJc w:val="left"/>
      <w:pPr>
        <w:ind w:left="5040" w:hanging="360"/>
      </w:pPr>
    </w:lvl>
    <w:lvl w:ilvl="7">
      <w:numFmt w:val="bullet"/>
      <w:lvlText w:val=" "/>
      <w:lvlJc w:val="left"/>
      <w:pPr>
        <w:ind w:left="5760" w:hanging="360"/>
      </w:pPr>
    </w:lvl>
    <w:lvl w:ilvl="8">
      <w:numFmt w:val="bullet"/>
      <w:lvlText w:val=" "/>
      <w:lvlJc w:val="left"/>
      <w:pPr>
        <w:ind w:left="6480" w:hanging="360"/>
      </w:pPr>
    </w:lvl>
  </w:abstractNum>
  <w:abstractNum w:abstractNumId="991">
    <w:nsid w:val="0000A991"/>
    <w:multiLevelType w:val="multilevel"/>
    <w:lvl w:ilvl="0">
      <w:numFmt w:val="bullet"/>
      <w:lvlText w:val=""/>
      <w:lvlJc w:val="left"/>
      <w:pPr>
        <w:ind w:left="720" w:hanging="360"/>
      </w:pPr>
      <w:rPr>
        <w:rFonts w:ascii="Symbol" w:hAnsi="Symbol" w:cs="Symbol" w:hint="default"/>
      </w:rPr>
    </w:lvl>
    <w:lvl w:ilvl="1">
      <w:numFmt w:val="bullet"/>
      <w:lvlText w:val="o"/>
      <w:lvlJc w:val="left"/>
      <w:pPr>
        <w:ind w:left="1440" w:hanging="360"/>
      </w:pPr>
      <w:rPr>
        <w:rFonts w:ascii="Courier New" w:hAnsi="Courier New" w:cs="Courier New" w:hint="default"/>
      </w:rPr>
    </w:lvl>
    <w:lvl w:ilvl="2">
      <w:numFmt w:val="bullet"/>
      <w:lvlText w:val=""/>
      <w:lvlJc w:val="left"/>
      <w:pPr>
        <w:ind w:left="2160" w:hanging="360"/>
      </w:pPr>
      <w:rPr>
        <w:rFonts w:ascii="Wingdings" w:hAnsi="Wingdings" w:cs="Wingdings" w:hint="default"/>
      </w:rPr>
    </w:lvl>
    <w:lvl w:ilvl="3">
      <w:numFmt w:val="bullet"/>
      <w:lvlText w:val=""/>
      <w:lvlJc w:val="left"/>
      <w:pPr>
        <w:ind w:left="2880" w:hanging="360"/>
      </w:pPr>
      <w:rPr>
        <w:rFonts w:ascii="Symbol" w:hAnsi="Symbol" w:cs="Symbol" w:hint="default"/>
      </w:rPr>
    </w:lvl>
    <w:lvl w:ilvl="4">
      <w:numFmt w:val="bullet"/>
      <w:lvlText w:val="o"/>
      <w:lvlJc w:val="left"/>
      <w:pPr>
        <w:ind w:left="3600" w:hanging="360"/>
      </w:pPr>
      <w:rPr>
        <w:rFonts w:ascii="Courier New" w:hAnsi="Courier New" w:cs="Courier New" w:hint="default"/>
      </w:rPr>
    </w:lvl>
    <w:lvl w:ilvl="5">
      <w:numFmt w:val="bullet"/>
      <w:lvlText w:val=""/>
      <w:lvlJc w:val="left"/>
      <w:pPr>
        <w:ind w:left="4320" w:hanging="360"/>
      </w:pPr>
      <w:rPr>
        <w:rFonts w:ascii="Wingdings" w:hAnsi="Wingdings" w:cs="Wingdings" w:hint="default"/>
      </w:rPr>
    </w:lvl>
    <w:lvl w:ilvl="6">
      <w:numFmt w:val="bullet"/>
      <w:lvlText w:val=""/>
      <w:lvlJc w:val="left"/>
      <w:pPr>
        <w:ind w:left="5040" w:hanging="360"/>
      </w:pPr>
      <w:rPr>
        <w:rFonts w:ascii="Symbol" w:hAnsi="Symbol" w:cs="Symbol" w:hint="default"/>
      </w:rPr>
    </w:lvl>
    <w:lvl w:ilvl="7">
      <w:numFmt w:val="bullet"/>
      <w:lvlText w:val="o"/>
      <w:lvlJc w:val="left"/>
      <w:pPr>
        <w:ind w:left="5760" w:hanging="360"/>
      </w:pPr>
      <w:rPr>
        <w:rFonts w:ascii="Courier New" w:hAnsi="Courier New" w:cs="Courier New" w:hint="default"/>
      </w:rPr>
    </w:lvl>
    <w:lvl w:ilvl="8">
      <w:numFmt w:val="bullet"/>
      <w:lvlText w:val=""/>
      <w:lvlJc w:val="left"/>
      <w:pPr>
        <w:ind w:left="6480" w:hanging="360"/>
      </w:pPr>
      <w:rPr>
        <w:rFonts w:ascii="Wingdings" w:hAnsi="Wingdings" w:cs="Wingdings" w:hint="default"/>
      </w:rPr>
    </w:lvl>
  </w:abstractNum>
  <w:abstractNum w:abstractNumId="99411">
    <w:nsid w:val="00A99411"/>
    <w:multiLevelType w:val="multilevel"/>
    <w:lvl w:ilvl="0">
      <w:start w:val="1"/>
      <w:numFmt w:val="decimal"/>
      <w:lvlText w:val="%1."/>
      <w:lvlJc w:val="left"/>
      <w:pPr>
        <w:ind w:left="720" w:hanging="360"/>
      </w:p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4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9">
    <w:abstractNumId w:val="991"/>
  </w:num>
  <w:num w:numId="1010">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zoom w:percent="100"/>
  <w:embedSystemFonts/>
  <w:proofState w:grammar="clean" w:spelling="clean"/>
  <w:stylePaneFormatFilter w:val="0004"/>
  <w:doNotTrackMoves/>
  <w:defaultTabStop w:val="720"/>
  <w:drawingGridHorizontalSpacing w:val="360"/>
  <w:drawingGridVerticalSpacing w:val="360"/>
  <w:displayHorizontalDrawingGridEvery w:val="0"/>
  <w:displayVerticalDrawingGridEvery w:val="0"/>
  <w:characterSpacingControl w:val="doNotCompress"/>
  <w:savePreviewPicture/>
  <w:rsids>
  </w:rsids>
  <w:themeFontLang w:val="en-US"/>
  <w:clrSchemeMapping w:accent1="accent1" w:accent2="accent2" w:accent3="accent3" w:accent4="accent4" w:accent5="accent5" w:accent6="accent6" w:bg1="light1" w:bg2="light2" w:followedHyperlink="followedHyperlink" w:hyperlink="hyperlink" w:t1="dark1" w:t2="dark2"/>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EastAsia" w:hAnsiTheme="minorHAnsi"/>
        <w:sz w:val="24"/>
        <w:szCs w:val="24"/>
        <w:lang w:bidi="ar-SA" w:eastAsia="zh-CN"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link w:val="TitleChar"/>
    <w:uiPriority w:val="10"/>
    <w:qFormat/>
    <w:rsid w:val="00A10FD9"/>
    <w:pPr>
      <w:spacing w:after="80" w:line="240" w:lineRule="auto"/>
      <w:contextualSpacing/>
      <w:jc w:val="center"/>
    </w:pPr>
    <w:rPr>
      <w:rFonts w:asciiTheme="majorHAnsi" w:cstheme="majorBidi" w:eastAsiaTheme="majorEastAsia" w:hAnsiTheme="majorHAnsi"/>
      <w:sz w:val="56"/>
      <w:szCs w:val="56"/>
    </w:rPr>
  </w:style>
  <w:style w:customStyle="1" w:styleId="TitleChar" w:type="character">
    <w:name w:val="Title Char"/>
    <w:basedOn w:val="DefaultParagraphFont"/>
    <w:link w:val="Title"/>
    <w:uiPriority w:val="10"/>
    <w:rsid w:val="00A10FD9"/>
    <w:rPr>
      <w:rFonts w:asciiTheme="majorHAnsi" w:cstheme="majorBidi" w:eastAsiaTheme="majorEastAsia" w:hAnsiTheme="majorHAnsi"/>
      <w:sz w:val="56"/>
      <w:szCs w:val="56"/>
    </w:rPr>
  </w:style>
  <w:style w:styleId="Subtitle" w:type="paragraph">
    <w:name w:val="Subtitle"/>
    <w:basedOn w:val="Title"/>
    <w:next w:val="BodyText"/>
    <w:link w:val="SubtitleChar"/>
    <w:uiPriority w:val="11"/>
    <w:qFormat/>
    <w:rsid w:val="00A10FD9"/>
    <w:pPr>
      <w:numPr>
        <w:ilvl w:val="1"/>
      </w:numPr>
    </w:pPr>
    <w:rPr>
      <w:rFonts w:cstheme="majorBidi" w:eastAsiaTheme="majorEastAsia"/>
      <w:spacing w:val="15"/>
      <w:sz w:val="28"/>
      <w:szCs w:val="28"/>
    </w:rPr>
  </w:style>
  <w:style w:customStyle="1" w:styleId="SubtitleChar" w:type="character">
    <w:name w:val="Subtitle Char"/>
    <w:basedOn w:val="DefaultParagraphFont"/>
    <w:link w:val="Subtitle"/>
    <w:uiPriority w:val="11"/>
    <w:rsid w:val="00A10FD9"/>
    <w:rPr>
      <w:rFonts w:cstheme="majorBidi" w:eastAsiaTheme="majorEastAsia"/>
      <w:color w:themeColor="text1" w:themeTint="A6" w:val="595959"/>
      <w:spacing w:val="15"/>
      <w:sz w:val="28"/>
      <w:szCs w:val="28"/>
    </w:rPr>
  </w:style>
  <w:style w:customStyle="1" w:styleId="Author" w:type="paragraph">
    <w:name w:val="Author"/>
    <w:basedOn w:val="Title"/>
    <w:next w:val="BodyText"/>
    <w:qFormat/>
    <w:pPr>
      <w:keepNext/>
      <w:keepLines/>
    </w:pPr>
    <w:rPr>
      <w:sz w:val="24"/>
      <w:szCs w:val="24"/>
    </w:rPr>
  </w:style>
  <w:style w:styleId="Date" w:type="paragraph">
    <w:name w:val="Date"/>
    <w:basedOn w:val="Title"/>
    <w:next w:val="BodyText"/>
    <w:qFormat/>
    <w:pPr>
      <w:keepNext/>
      <w:keepLines/>
    </w:pPr>
    <w:rPr>
      <w:sz w:val="24"/>
      <w:szCs w:val="24"/>
    </w:rPr>
  </w:style>
  <w:style w:customStyle="1" w:styleId="AbstractTitle" w:type="paragraph">
    <w:name w:val="Abstract Title"/>
    <w:basedOn w:val="Normal"/>
    <w:next w:val="Abstract"/>
    <w:qFormat/>
    <w:pPr>
      <w:keepNext/>
      <w:keepLines/>
      <w:spacing w:after="0" w:before="300"/>
      <w:jc w:val="center"/>
    </w:pPr>
    <w:rPr>
      <w:b/>
      <w:sz w:val="20"/>
      <w:szCs w:val="20"/>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link w:val="Heading1Char"/>
    <w:uiPriority w:val="9"/>
    <w:qFormat/>
    <w:rsid w:val="00A10FD9"/>
    <w:pPr>
      <w:keepNext/>
      <w:keepLines/>
      <w:spacing w:after="80" w:before="360"/>
      <w:outlineLvl w:val="0"/>
    </w:pPr>
    <w:rPr>
      <w:rFonts w:asciiTheme="majorHAnsi" w:cstheme="majorBidi" w:eastAsiaTheme="majorEastAsia" w:hAnsiTheme="majorHAnsi"/>
      <w:color w:themeColor="accent1" w:themeShade="BF" w:val="0F4761"/>
      <w:sz w:val="40"/>
      <w:szCs w:val="40"/>
    </w:rPr>
  </w:style>
  <w:style w:styleId="Heading2" w:type="paragraph">
    <w:name w:val="heading 2"/>
    <w:basedOn w:val="Normal"/>
    <w:next w:val="BodyText"/>
    <w:link w:val="Heading2Char"/>
    <w:uiPriority w:val="9"/>
    <w:semiHidden/>
    <w:unhideWhenUsed/>
    <w:qFormat/>
    <w:rsid w:val="00A10FD9"/>
    <w:pPr>
      <w:keepNext/>
      <w:keepLines/>
      <w:spacing w:after="80" w:before="160"/>
      <w:outlineLvl w:val="1"/>
    </w:pPr>
    <w:rPr>
      <w:rFonts w:asciiTheme="majorHAnsi" w:cstheme="majorBidi" w:eastAsiaTheme="majorEastAsia" w:hAnsiTheme="majorHAnsi"/>
      <w:color w:themeColor="accent1" w:themeShade="BF" w:val="0F4761"/>
      <w:sz w:val="32"/>
      <w:szCs w:val="32"/>
    </w:rPr>
  </w:style>
  <w:style w:styleId="Heading3" w:type="paragraph">
    <w:name w:val="heading 3"/>
    <w:basedOn w:val="Normal"/>
    <w:next w:val="BodyText"/>
    <w:link w:val="Heading3Char"/>
    <w:uiPriority w:val="9"/>
    <w:semiHidden/>
    <w:unhideWhenUsed/>
    <w:qFormat/>
    <w:rsid w:val="00A10FD9"/>
    <w:pPr>
      <w:keepNext/>
      <w:keepLines/>
      <w:spacing w:after="80" w:before="160"/>
      <w:outlineLvl w:val="2"/>
    </w:pPr>
    <w:rPr>
      <w:rFonts w:cstheme="majorBidi" w:eastAsiaTheme="majorEastAsia"/>
      <w:color w:themeColor="accent1" w:themeShade="BF" w:val="0F4761"/>
      <w:sz w:val="28"/>
      <w:szCs w:val="28"/>
    </w:rPr>
  </w:style>
  <w:style w:styleId="Heading4" w:type="paragraph">
    <w:name w:val="heading 4"/>
    <w:basedOn w:val="Normal"/>
    <w:next w:val="BodyText"/>
    <w:link w:val="Heading4Char"/>
    <w:uiPriority w:val="9"/>
    <w:semiHidden/>
    <w:unhideWhenUsed/>
    <w:qFormat/>
    <w:rsid w:val="00A10FD9"/>
    <w:pPr>
      <w:keepNext/>
      <w:keepLines/>
      <w:spacing w:after="40" w:before="80"/>
      <w:outlineLvl w:val="3"/>
    </w:pPr>
    <w:rPr>
      <w:rFonts w:cstheme="majorBidi" w:eastAsiaTheme="majorEastAsia"/>
      <w:i/>
      <w:iCs/>
      <w:color w:themeColor="accent1" w:themeShade="BF" w:val="0F4761"/>
    </w:rPr>
  </w:style>
  <w:style w:styleId="Heading5" w:type="paragraph">
    <w:name w:val="heading 5"/>
    <w:basedOn w:val="Normal"/>
    <w:next w:val="BodyText"/>
    <w:link w:val="Heading5Char"/>
    <w:uiPriority w:val="9"/>
    <w:semiHidden/>
    <w:unhideWhenUsed/>
    <w:qFormat/>
    <w:rsid w:val="00A10FD9"/>
    <w:pPr>
      <w:keepNext/>
      <w:keepLines/>
      <w:spacing w:after="40" w:before="80"/>
      <w:outlineLvl w:val="4"/>
    </w:pPr>
    <w:rPr>
      <w:rFonts w:cstheme="majorBidi" w:eastAsiaTheme="majorEastAsia"/>
      <w:color w:themeColor="accent1" w:themeShade="BF" w:val="0F4761"/>
    </w:rPr>
  </w:style>
  <w:style w:styleId="Heading6" w:type="paragraph">
    <w:name w:val="heading 6"/>
    <w:basedOn w:val="Normal"/>
    <w:next w:val="BodyText"/>
    <w:link w:val="Heading6Char"/>
    <w:uiPriority w:val="9"/>
    <w:semiHidden/>
    <w:unhideWhenUsed/>
    <w:qFormat/>
    <w:rsid w:val="00A10FD9"/>
    <w:pPr>
      <w:keepNext/>
      <w:keepLines/>
      <w:spacing w:after="0" w:before="40"/>
      <w:outlineLvl w:val="5"/>
    </w:pPr>
    <w:rPr>
      <w:rFonts w:cstheme="majorBidi" w:eastAsiaTheme="majorEastAsia"/>
      <w:i/>
      <w:iCs/>
      <w:color w:themeColor="text1" w:themeTint="A6" w:val="595959"/>
    </w:rPr>
  </w:style>
  <w:style w:styleId="Heading7" w:type="paragraph">
    <w:name w:val="heading 7"/>
    <w:basedOn w:val="Normal"/>
    <w:next w:val="BodyText"/>
    <w:link w:val="Heading7Char"/>
    <w:uiPriority w:val="9"/>
    <w:semiHidden/>
    <w:unhideWhenUsed/>
    <w:qFormat/>
    <w:rsid w:val="00A10FD9"/>
    <w:pPr>
      <w:keepNext/>
      <w:keepLines/>
      <w:spacing w:after="0" w:before="40"/>
      <w:outlineLvl w:val="6"/>
    </w:pPr>
    <w:rPr>
      <w:rFonts w:cstheme="majorBidi" w:eastAsiaTheme="majorEastAsia"/>
      <w:color w:themeColor="text1" w:themeTint="A6" w:val="595959"/>
    </w:rPr>
  </w:style>
  <w:style w:styleId="Heading8" w:type="paragraph">
    <w:name w:val="heading 8"/>
    <w:basedOn w:val="Normal"/>
    <w:next w:val="BodyText"/>
    <w:link w:val="Heading8Char"/>
    <w:uiPriority w:val="9"/>
    <w:semiHidden/>
    <w:unhideWhenUsed/>
    <w:qFormat/>
    <w:rsid w:val="00A10FD9"/>
    <w:pPr>
      <w:keepNext/>
      <w:keepLines/>
      <w:spacing w:after="0"/>
      <w:outlineLvl w:val="7"/>
    </w:pPr>
    <w:rPr>
      <w:rFonts w:cstheme="majorBidi" w:eastAsiaTheme="majorEastAsia"/>
      <w:i/>
      <w:iCs/>
      <w:color w:themeColor="text1" w:themeTint="D8" w:val="272727"/>
    </w:rPr>
  </w:style>
  <w:style w:styleId="Heading9" w:type="paragraph">
    <w:name w:val="heading 9"/>
    <w:basedOn w:val="Normal"/>
    <w:next w:val="BodyText"/>
    <w:link w:val="Heading9Char"/>
    <w:uiPriority w:val="9"/>
    <w:semiHidden/>
    <w:unhideWhenUsed/>
    <w:qFormat/>
    <w:rsid w:val="00A10FD9"/>
    <w:pPr>
      <w:keepNext/>
      <w:keepLines/>
      <w:spacing w:after="0"/>
      <w:outlineLvl w:val="8"/>
    </w:pPr>
    <w:rPr>
      <w:rFonts w:cstheme="majorBidi" w:eastAsiaTheme="majorEastAsia"/>
      <w:color w:themeColor="text1" w:themeTint="D8" w:val="272727"/>
    </w:rPr>
  </w:style>
  <w:style w:customStyle="1" w:styleId="Heading1Char" w:type="character">
    <w:name w:val="Heading 1 Char"/>
    <w:basedOn w:val="DefaultParagraphFont"/>
    <w:link w:val="Heading1"/>
    <w:uiPriority w:val="9"/>
    <w:rsid w:val="00A10FD9"/>
    <w:rPr>
      <w:rFonts w:asciiTheme="majorHAnsi" w:cstheme="majorBidi" w:eastAsiaTheme="majorEastAsia" w:hAnsiTheme="majorHAnsi"/>
      <w:color w:themeColor="accent1" w:themeShade="BF" w:val="0F4761"/>
      <w:sz w:val="40"/>
      <w:szCs w:val="40"/>
    </w:rPr>
  </w:style>
  <w:style w:customStyle="1" w:styleId="Heading2Char" w:type="character">
    <w:name w:val="Heading 2 Char"/>
    <w:basedOn w:val="DefaultParagraphFont"/>
    <w:link w:val="Heading2"/>
    <w:uiPriority w:val="9"/>
    <w:semiHidden/>
    <w:rsid w:val="00A10FD9"/>
    <w:rPr>
      <w:rFonts w:asciiTheme="majorHAnsi" w:cstheme="majorBidi" w:eastAsiaTheme="majorEastAsia" w:hAnsiTheme="majorHAnsi"/>
      <w:color w:themeColor="accent1" w:themeShade="BF" w:val="0F4761"/>
      <w:sz w:val="32"/>
      <w:szCs w:val="32"/>
    </w:rPr>
  </w:style>
  <w:style w:customStyle="1" w:styleId="Heading3Char" w:type="character">
    <w:name w:val="Heading 3 Char"/>
    <w:basedOn w:val="DefaultParagraphFont"/>
    <w:link w:val="Heading3"/>
    <w:uiPriority w:val="9"/>
    <w:semiHidden/>
    <w:rsid w:val="00A10FD9"/>
    <w:rPr>
      <w:rFonts w:cstheme="majorBidi" w:eastAsiaTheme="majorEastAsia"/>
      <w:color w:themeColor="accent1" w:themeShade="BF" w:val="0F4761"/>
      <w:sz w:val="28"/>
      <w:szCs w:val="28"/>
    </w:rPr>
  </w:style>
  <w:style w:customStyle="1" w:styleId="Heading4Char" w:type="character">
    <w:name w:val="Heading 4 Char"/>
    <w:basedOn w:val="DefaultParagraphFont"/>
    <w:link w:val="Heading4"/>
    <w:uiPriority w:val="9"/>
    <w:semiHidden/>
    <w:rsid w:val="00A10FD9"/>
    <w:rPr>
      <w:rFonts w:cstheme="majorBidi" w:eastAsiaTheme="majorEastAsia"/>
      <w:i/>
      <w:iCs/>
      <w:color w:themeColor="accent1" w:themeShade="BF" w:val="0F4761"/>
    </w:rPr>
  </w:style>
  <w:style w:customStyle="1" w:styleId="Heading5Char" w:type="character">
    <w:name w:val="Heading 5 Char"/>
    <w:basedOn w:val="DefaultParagraphFont"/>
    <w:link w:val="Heading5"/>
    <w:uiPriority w:val="9"/>
    <w:semiHidden/>
    <w:rsid w:val="00A10FD9"/>
    <w:rPr>
      <w:rFonts w:cstheme="majorBidi" w:eastAsiaTheme="majorEastAsia"/>
      <w:color w:themeColor="accent1" w:themeShade="BF" w:val="0F4761"/>
    </w:rPr>
  </w:style>
  <w:style w:customStyle="1" w:styleId="Heading6Char" w:type="character">
    <w:name w:val="Heading 6 Char"/>
    <w:basedOn w:val="DefaultParagraphFont"/>
    <w:link w:val="Heading6"/>
    <w:uiPriority w:val="9"/>
    <w:semiHidden/>
    <w:rsid w:val="00A10FD9"/>
    <w:rPr>
      <w:rFonts w:cstheme="majorBidi" w:eastAsiaTheme="majorEastAsia"/>
      <w:i/>
      <w:iCs/>
      <w:color w:themeColor="text1" w:themeTint="A6" w:val="595959"/>
    </w:rPr>
  </w:style>
  <w:style w:customStyle="1" w:styleId="Heading7Char" w:type="character">
    <w:name w:val="Heading 7 Char"/>
    <w:basedOn w:val="DefaultParagraphFont"/>
    <w:link w:val="Heading7"/>
    <w:uiPriority w:val="9"/>
    <w:semiHidden/>
    <w:rsid w:val="00A10FD9"/>
    <w:rPr>
      <w:rFonts w:cstheme="majorBidi" w:eastAsiaTheme="majorEastAsia"/>
      <w:color w:themeColor="text1" w:themeTint="A6" w:val="595959"/>
    </w:rPr>
  </w:style>
  <w:style w:customStyle="1" w:styleId="Heading8Char" w:type="character">
    <w:name w:val="Heading 8 Char"/>
    <w:basedOn w:val="DefaultParagraphFont"/>
    <w:link w:val="Heading8"/>
    <w:uiPriority w:val="9"/>
    <w:semiHidden/>
    <w:rsid w:val="00A10FD9"/>
    <w:rPr>
      <w:rFonts w:cstheme="majorBidi" w:eastAsiaTheme="majorEastAsia"/>
      <w:i/>
      <w:iCs/>
      <w:color w:themeColor="text1" w:themeTint="D8" w:val="272727"/>
    </w:rPr>
  </w:style>
  <w:style w:customStyle="1" w:styleId="Heading9Char" w:type="character">
    <w:name w:val="Heading 9 Char"/>
    <w:basedOn w:val="DefaultParagraphFont"/>
    <w:link w:val="Heading9"/>
    <w:uiPriority w:val="9"/>
    <w:semiHidden/>
    <w:rsid w:val="00A10FD9"/>
    <w:rPr>
      <w:rFonts w:cstheme="majorBidi" w:eastAsiaTheme="majorEastAsia"/>
      <w:color w:themeColor="text1" w:themeTint="D8" w:val="272727"/>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styleId="FootnoteBlockText" w:type="paragraph">
    <w:name w:val="Footnote Block Text"/>
    <w:basedOn w:val="FootnoteText"/>
    <w:next w:val="FootnoteText"/>
    <w:uiPriority w:val="9"/>
    <w:unhideWhenUsed/>
    <w:qFormat/>
    <w:pPr>
      <w:spacing w:after="100" w:before="100"/>
      <w:ind w:firstLine="0" w:left="480" w:right="480"/>
    </w:pPr>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cPr>
        <w:tcBorders>
          <w:bottom w:val="single"/>
        </w:tcBorders>
        <w:vAlign w:val="bottom"/>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b/>
      <w:color w:val="007020"/>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b/>
      <w:color w:val="008000"/>
    </w:rPr>
  </w:style>
  <w:style w:type="character" w:customStyle="1" w:styleId="CommentTok">
    <w:name w:val="CommentTok"/>
    <w:basedOn w:val="VerbatimChar"/>
    <w:rPr>
      <w:i/>
      <w:color w:val="60a0b0"/>
    </w:rPr>
  </w:style>
  <w:style w:type="character" w:customStyle="1" w:styleId="DocumentationTok">
    <w:name w:val="DocumentationTok"/>
    <w:basedOn w:val="VerbatimChar"/>
    <w:rPr>
      <w:i/>
      <w:color w:val="ba2121"/>
    </w:rPr>
  </w:style>
  <w:style w:type="character" w:customStyle="1" w:styleId="AnnotationTok">
    <w:name w:val="AnnotationTok"/>
    <w:basedOn w:val="VerbatimChar"/>
    <w:rPr>
      <w:b/>
      <w:i/>
      <w:color w:val="60a0b0"/>
    </w:rPr>
  </w:style>
  <w:style w:type="character" w:customStyle="1" w:styleId="CommentVarTok">
    <w:name w:val="CommentVarTok"/>
    <w:basedOn w:val="VerbatimChar"/>
    <w:rPr>
      <w:b/>
      <w:i/>
      <w:color w:val="60a0b0"/>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b/>
      <w:color w:val="007020"/>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b/>
      <w:i/>
      <w:color w:val="60a0b0"/>
    </w:rPr>
  </w:style>
  <w:style w:type="character" w:customStyle="1" w:styleId="WarningTok">
    <w:name w:val="WarningTok"/>
    <w:basedOn w:val="VerbatimChar"/>
    <w:rPr>
      <w:b/>
      <w:i/>
      <w:color w:val="60a0b0"/>
    </w:rPr>
  </w:style>
  <w:style w:type="character" w:customStyle="1" w:styleId="AlertTok">
    <w:name w:val="AlertTok"/>
    <w:basedOn w:val="VerbatimChar"/>
    <w:rPr>
      <w:b/>
      <w:color w:val="ff0000"/>
    </w:rPr>
  </w:style>
  <w:style w:type="character" w:customStyle="1" w:styleId="ErrorTok">
    <w:name w:val="ErrorTok"/>
    <w:basedOn w:val="VerbatimChar"/>
    <w:rPr>
      <w:b/>
      <w:color w:val="ff0000"/>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8" Target="numbering.xml" /><Relationship Type="http://schemas.openxmlformats.org/officeDocument/2006/relationships/styles" Id="rId7" Target="styles.xml" /><Relationship Type="http://schemas.openxmlformats.org/officeDocument/2006/relationships/settings" Id="rId6" Target="settings.xml" /><Relationship Type="http://schemas.openxmlformats.org/officeDocument/2006/relationships/webSettings" Id="rId5" Target="webSettings.xml" /><Relationship Type="http://schemas.openxmlformats.org/officeDocument/2006/relationships/fontTable" Id="rId4" Target="fontTable.xml" /><Relationship Type="http://schemas.openxmlformats.org/officeDocument/2006/relationships/theme" Id="rId3" Target="theme/theme1.xml" /><Relationship Type="http://schemas.openxmlformats.org/officeDocument/2006/relationships/footnotes" Id="rId2" Target="footnotes.xml" /><Relationship Type="http://schemas.openxmlformats.org/officeDocument/2006/relationships/comments" Id="rId1"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2026-07-29T01:04:09Z</dcterms:created>
  <dcterms:modified xsi:type="dcterms:W3CDTF">2026-07-29T01:04:09Z</dcterms:modified>
</cp:coreProperties>
</file>

<file path=docProps/custom.xml><?xml version="1.0" encoding="utf-8"?>
<Properties xmlns="http://schemas.openxmlformats.org/officeDocument/2006/custom-properties" xmlns:vt="http://schemas.openxmlformats.org/officeDocument/2006/docPropsVTypes"/>
</file>