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VRT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Vertiv Holdings Co (NYSE: VRT)</w:t>
            </w:r>
          </w:p>
        </w:tc>
      </w:tr>
      <w:tr>
        <w:tc>
          <w:tcPr>
            <w:tcW w:type="dxa" w:w="4320"/>
          </w:tcPr>
          <w:p>
            <w:r>
              <w:rPr>
                <w:rFonts w:ascii="Calibri" w:hAnsi="Calibri"/>
                <w:b/>
                <w:sz w:val="22"/>
              </w:rPr>
              <w:t>Upcoming Earnings Date</w:t>
            </w:r>
          </w:p>
        </w:tc>
        <w:tc>
          <w:tcPr>
            <w:tcW w:type="dxa" w:w="4320"/>
          </w:tcPr>
          <w:p>
            <w:r>
              <w:rPr>
                <w:rFonts w:ascii="Calibri" w:hAnsi="Calibri"/>
                <w:sz w:val="22"/>
              </w:rPr>
              <w:t>July 29,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Last Earnings Date</w:t>
            </w:r>
          </w:p>
        </w:tc>
        <w:tc>
          <w:tcPr>
            <w:tcW w:type="dxa" w:w="4320"/>
          </w:tcPr>
          <w:p>
            <w:r>
              <w:rPr>
                <w:rFonts w:ascii="Calibri" w:hAnsi="Calibri"/>
                <w:sz w:val="22"/>
              </w:rPr>
              <w:t>April 22, 2026 (Q1 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Sector ETF Benchmark</w:t>
            </w:r>
          </w:p>
        </w:tc>
        <w:tc>
          <w:tcPr>
            <w:tcW w:type="dxa" w:w="4320"/>
          </w:tcPr>
          <w:p>
            <w:r>
              <w:rPr>
                <w:rFonts w:ascii="Calibri" w:hAnsi="Calibri"/>
                <w:sz w:val="22"/>
              </w:rPr>
              <w:t>XLI (Industrials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is constructive for a beat on EPS and margins, but the bar on Q2 revenue guidance ($3.35B midpoint) is well-known and the stock has already de-rated ~12% since Q1 earnings — the real swing factor is whether management's EMEA recovery narrative gets its first tangible data point in Q2 results.</w:t>
      </w:r>
    </w:p>
    <w:p>
      <w:r>
        <w:rPr>
          <w:rFonts w:ascii="Calibri" w:hAnsi="Calibri"/>
          <w:color w:val="525866"/>
          <w:sz w:val="22"/>
        </w:rPr>
        <w:t xml:space="preserve">Heading into Q2 2026, the consensus bar is manageable: the street is modeling ~$3.39B in revenue (slightly above the $3.35B guidance midpoint) and ~$1.44 in adjusted diluted EPS (above the $1.40 guidance midpoint), implying the market expects a modest beat consistent with VRT's track record. </w:t>
      </w:r>
      <w:r>
        <w:rPr>
          <w:rFonts w:ascii="Calibri" w:hAnsi="Calibri"/>
          <w:b/>
          <w:color w:val="525866"/>
          <w:sz w:val="22"/>
        </w:rPr>
        <w:t>Management's tone on the Q1 call was unambiguously confident</w:t>
      </w:r>
      <w:r>
        <w:rPr>
          <w:rFonts w:ascii="Calibri" w:hAnsi="Calibri"/>
          <w:color w:val="525866"/>
          <w:sz w:val="22"/>
        </w:rPr>
        <w:t xml:space="preserve"> — raising full-year adjusted EPS guidance by $0.33 to a $6.35 midpoint (+51% YoY), reaffirming tariff mitigation as materially achieved, and describing pipeline momentum as "broad-based across technology range and regions." Estimate revisions have been modestly positive since the Q1 print, with the FY2026 EPS consensus moving from ~$6.47 to ~$6.48 and revenue from ~$13.88B to ~$13.89B — tracking tightly with guidance rather than diverging, which limits both upside surprise and downside risk from revision dynamics. </w:t>
      </w:r>
      <w:r>
        <w:rPr>
          <w:rFonts w:ascii="Calibri" w:hAnsi="Calibri"/>
          <w:b/>
          <w:color w:val="525866"/>
          <w:sz w:val="22"/>
        </w:rPr>
        <w:t>The stock has underperformed sharply since Q1 earnings (-11.7% vs. XLI +6.7% and SPY +4.2%)</w:t>
      </w:r>
      <w:r>
        <w:rPr>
          <w:rFonts w:ascii="Calibri" w:hAnsi="Calibri"/>
          <w:color w:val="525866"/>
          <w:sz w:val="22"/>
        </w:rPr>
        <w:t xml:space="preserve">, driven by the Investor Conference selloff on May 19-20 (despite constructive long-term targets) and a broader de-rating as the market questioned near-term EMEA weakness and incremental margin trajectory; at ~$270, VRT trades at roughly 42x forward earnings, still a premium but meaningfully compressed from post-Q3 2025 highs. The single biggest wildcard is </w:t>
      </w:r>
      <w:r>
        <w:rPr>
          <w:rFonts w:ascii="Calibri" w:hAnsi="Calibri"/>
          <w:b/>
          <w:color w:val="525866"/>
          <w:sz w:val="22"/>
        </w:rPr>
        <w:t>EMEA: management guided flat organic growth for the full year with H2 recovery embedded, but Q1 EMEA was down 29% organically — any Q2 EMEA data point that shows the "spring uncoiling" is materializing (or not) will be the most market-moving element of the print.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modestly above guidance midpoints on both revenue and EPS, implying the street expects a small beat — consistent with VRT's 8-quarter track record. </w:t>
      </w:r>
      <w:r>
        <w:rPr>
          <w:rFonts w:ascii="Calibri" w:hAnsi="Calibri"/>
          <w:b/>
          <w:color w:val="525866"/>
          <w:sz w:val="22"/>
        </w:rPr>
        <w:t>Adjusted operating margin is the bigger swing factor</w:t>
      </w:r>
      <w:r>
        <w:rPr>
          <w:rFonts w:ascii="Calibri" w:hAnsi="Calibri"/>
          <w:color w:val="525866"/>
          <w:sz w:val="22"/>
        </w:rPr>
        <w:t>: management guided 21.2% for Q2 (vs. 20.8% actual in Q1), and any upside there would signal the incremental margin recovery trajectory is on track despite the capacity ramp headwind.</w:t>
      </w:r>
    </w:p>
    <w:p>
      <w:pPr>
        <w:pStyle w:val="Heading2"/>
      </w:pPr>
      <w:r>
        <w:rPr>
          <w:rFonts w:ascii="Calibri" w:hAnsi="Calibri"/>
          <w:b/>
          <w:color w:val="3B4259"/>
          <w:sz w:val="28"/>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(Midpoint)</w:t>
            </w:r>
          </w:p>
        </w:tc>
        <w:tc>
          <w:tcPr>
            <w:tcW w:type="dxa" w:w="1234"/>
            <w:shd w:val="clear" w:color="auto" w:fill="3B4259"/>
          </w:tcPr>
          <w:p>
            <w:r>
              <w:rPr>
                <w:rFonts w:ascii="Calibri" w:hAnsi="Calibri"/>
                <w:b/>
                <w:color w:val="FFFFFF"/>
                <w:sz w:val="22"/>
              </w:rPr>
              <w:t>Consensus vs. Guidance (%)</w:t>
            </w:r>
          </w:p>
        </w:tc>
      </w:tr>
      <w:tr>
        <w:tc>
          <w:tcPr>
            <w:tcW w:type="dxa" w:w="1234"/>
          </w:tcPr>
          <w:p>
            <w:r>
              <w:rPr>
                <w:rFonts w:ascii="Calibri" w:hAnsi="Calibri"/>
                <w:sz w:val="22"/>
              </w:rPr>
              <w:t>Net Sales ($B)</w:t>
            </w:r>
          </w:p>
        </w:tc>
        <w:tc>
          <w:tcPr>
            <w:tcW w:type="dxa" w:w="1234"/>
          </w:tcPr>
          <w:p>
            <w:r>
              <w:rPr>
                <w:rFonts w:ascii="Calibri" w:hAnsi="Calibri"/>
                <w:sz w:val="22"/>
              </w:rPr>
              <w:t>$2.650B</w:t>
            </w:r>
          </w:p>
        </w:tc>
        <w:tc>
          <w:tcPr>
            <w:tcW w:type="dxa" w:w="1234"/>
          </w:tcPr>
          <w:p>
            <w:r>
              <w:rPr>
                <w:rFonts w:ascii="Calibri" w:hAnsi="Calibri"/>
                <w:sz w:val="22"/>
              </w:rPr>
              <w:t>$2.638B</w:t>
            </w:r>
          </w:p>
        </w:tc>
        <w:tc>
          <w:tcPr>
            <w:tcW w:type="dxa" w:w="1234"/>
          </w:tcPr>
          <w:p>
            <w:r>
              <w:rPr>
                <w:rFonts w:ascii="Calibri" w:hAnsi="Calibri"/>
                <w:sz w:val="22"/>
              </w:rPr>
              <w:t>$3.391B</w:t>
            </w:r>
          </w:p>
        </w:tc>
        <w:tc>
          <w:tcPr>
            <w:tcW w:type="dxa" w:w="1234"/>
          </w:tcPr>
          <w:p>
            <w:r>
              <w:rPr>
                <w:rFonts w:ascii="Calibri" w:hAnsi="Calibri"/>
                <w:sz w:val="22"/>
              </w:rPr>
              <w:t>+28.5%</w:t>
            </w:r>
          </w:p>
        </w:tc>
        <w:tc>
          <w:tcPr>
            <w:tcW w:type="dxa" w:w="1234"/>
          </w:tcPr>
          <w:p>
            <w:r>
              <w:rPr>
                <w:rFonts w:ascii="Calibri" w:hAnsi="Calibri"/>
                <w:sz w:val="22"/>
              </w:rPr>
              <w:t>$3.350B</w:t>
            </w:r>
          </w:p>
        </w:tc>
        <w:tc>
          <w:tcPr>
            <w:tcW w:type="dxa" w:w="1234"/>
          </w:tcPr>
          <w:p>
            <w:r>
              <w:rPr>
                <w:rFonts w:ascii="Calibri" w:hAnsi="Calibri"/>
                <w:sz w:val="22"/>
              </w:rPr>
              <w:t>+1.2%</w:t>
            </w:r>
          </w:p>
        </w:tc>
      </w:tr>
      <w:tr>
        <w:tc>
          <w:tcPr>
            <w:tcW w:type="dxa" w:w="1234"/>
          </w:tcPr>
          <w:p>
            <w:r>
              <w:rPr>
                <w:rFonts w:ascii="Calibri" w:hAnsi="Calibri"/>
                <w:sz w:val="22"/>
              </w:rPr>
              <w:t>Adj. Diluted EPS ($)</w:t>
            </w:r>
          </w:p>
        </w:tc>
        <w:tc>
          <w:tcPr>
            <w:tcW w:type="dxa" w:w="1234"/>
          </w:tcPr>
          <w:p>
            <w:r>
              <w:rPr>
                <w:rFonts w:ascii="Calibri" w:hAnsi="Calibri"/>
                <w:sz w:val="22"/>
              </w:rPr>
              <w:t>$1.17</w:t>
            </w:r>
          </w:p>
        </w:tc>
        <w:tc>
          <w:tcPr>
            <w:tcW w:type="dxa" w:w="1234"/>
          </w:tcPr>
          <w:p>
            <w:r>
              <w:rPr>
                <w:rFonts w:ascii="Calibri" w:hAnsi="Calibri"/>
                <w:sz w:val="22"/>
              </w:rPr>
              <w:t>$0.95</w:t>
            </w:r>
          </w:p>
        </w:tc>
        <w:tc>
          <w:tcPr>
            <w:tcW w:type="dxa" w:w="1234"/>
          </w:tcPr>
          <w:p>
            <w:r>
              <w:rPr>
                <w:rFonts w:ascii="Calibri" w:hAnsi="Calibri"/>
                <w:sz w:val="22"/>
              </w:rPr>
              <w:t>$1.44</w:t>
            </w:r>
          </w:p>
        </w:tc>
        <w:tc>
          <w:tcPr>
            <w:tcW w:type="dxa" w:w="1234"/>
          </w:tcPr>
          <w:p>
            <w:r>
              <w:rPr>
                <w:rFonts w:ascii="Calibri" w:hAnsi="Calibri"/>
                <w:sz w:val="22"/>
              </w:rPr>
              <w:t>+51.6%</w:t>
            </w:r>
          </w:p>
        </w:tc>
        <w:tc>
          <w:tcPr>
            <w:tcW w:type="dxa" w:w="1234"/>
          </w:tcPr>
          <w:p>
            <w:r>
              <w:rPr>
                <w:rFonts w:ascii="Calibri" w:hAnsi="Calibri"/>
                <w:sz w:val="22"/>
              </w:rPr>
              <w:t>$1.40</w:t>
            </w:r>
          </w:p>
        </w:tc>
        <w:tc>
          <w:tcPr>
            <w:tcW w:type="dxa" w:w="1234"/>
          </w:tcPr>
          <w:p>
            <w:r>
              <w:rPr>
                <w:rFonts w:ascii="Calibri" w:hAnsi="Calibri"/>
                <w:sz w:val="22"/>
              </w:rPr>
              <w:t>+2.9%</w:t>
            </w:r>
          </w:p>
        </w:tc>
      </w:tr>
      <w:tr>
        <w:tc>
          <w:tcPr>
            <w:tcW w:type="dxa" w:w="1234"/>
          </w:tcPr>
          <w:p>
            <w:r>
              <w:rPr>
                <w:rFonts w:ascii="Calibri" w:hAnsi="Calibri"/>
                <w:sz w:val="22"/>
              </w:rPr>
              <w:t>Adj. Operating Income ($M)</w:t>
            </w:r>
          </w:p>
        </w:tc>
        <w:tc>
          <w:tcPr>
            <w:tcW w:type="dxa" w:w="1234"/>
          </w:tcPr>
          <w:p>
            <w:r>
              <w:rPr>
                <w:rFonts w:ascii="Calibri" w:hAnsi="Calibri"/>
                <w:sz w:val="22"/>
              </w:rPr>
              <w:t>$550.9M</w:t>
            </w:r>
          </w:p>
        </w:tc>
        <w:tc>
          <w:tcPr>
            <w:tcW w:type="dxa" w:w="1234"/>
          </w:tcPr>
          <w:p>
            <w:r>
              <w:rPr>
                <w:rFonts w:ascii="Calibri" w:hAnsi="Calibri"/>
                <w:sz w:val="22"/>
              </w:rPr>
              <w:t>$489.3M</w:t>
            </w:r>
          </w:p>
        </w:tc>
        <w:tc>
          <w:tcPr>
            <w:tcW w:type="dxa" w:w="1234"/>
          </w:tcPr>
          <w:p>
            <w:r>
              <w:rPr>
                <w:rFonts w:ascii="Calibri" w:hAnsi="Calibri"/>
                <w:sz w:val="22"/>
              </w:rPr>
              <w:t>$728.9M</w:t>
            </w:r>
          </w:p>
        </w:tc>
        <w:tc>
          <w:tcPr>
            <w:tcW w:type="dxa" w:w="1234"/>
          </w:tcPr>
          <w:p>
            <w:r>
              <w:rPr>
                <w:rFonts w:ascii="Calibri" w:hAnsi="Calibri"/>
                <w:sz w:val="22"/>
              </w:rPr>
              <w:t>+48.9%</w:t>
            </w:r>
          </w:p>
        </w:tc>
        <w:tc>
          <w:tcPr>
            <w:tcW w:type="dxa" w:w="1234"/>
          </w:tcPr>
          <w:p>
            <w:r>
              <w:rPr>
                <w:rFonts w:ascii="Calibri" w:hAnsi="Calibri"/>
                <w:sz w:val="22"/>
              </w:rPr>
              <w:t>$710.0M</w:t>
            </w:r>
          </w:p>
        </w:tc>
        <w:tc>
          <w:tcPr>
            <w:tcW w:type="dxa" w:w="1234"/>
          </w:tcPr>
          <w:p>
            <w:r>
              <w:rPr>
                <w:rFonts w:ascii="Calibri" w:hAnsi="Calibri"/>
                <w:sz w:val="22"/>
              </w:rPr>
              <w:t>+2.7%</w:t>
            </w:r>
          </w:p>
        </w:tc>
      </w:tr>
      <w:tr>
        <w:tc>
          <w:tcPr>
            <w:tcW w:type="dxa" w:w="1234"/>
          </w:tcPr>
          <w:p>
            <w:r>
              <w:rPr>
                <w:rFonts w:ascii="Calibri" w:hAnsi="Calibri"/>
                <w:sz w:val="22"/>
              </w:rPr>
              <w:t>Adj. Operating Margin (%)</w:t>
            </w:r>
          </w:p>
        </w:tc>
        <w:tc>
          <w:tcPr>
            <w:tcW w:type="dxa" w:w="1234"/>
          </w:tcPr>
          <w:p>
            <w:r>
              <w:rPr>
                <w:rFonts w:ascii="Calibri" w:hAnsi="Calibri"/>
                <w:sz w:val="22"/>
              </w:rPr>
              <w:t>20.8%</w:t>
            </w:r>
          </w:p>
        </w:tc>
        <w:tc>
          <w:tcPr>
            <w:tcW w:type="dxa" w:w="1234"/>
          </w:tcPr>
          <w:p>
            <w:r>
              <w:rPr>
                <w:rFonts w:ascii="Calibri" w:hAnsi="Calibri"/>
                <w:sz w:val="22"/>
              </w:rPr>
              <w:t>18.5%</w:t>
            </w:r>
          </w:p>
        </w:tc>
        <w:tc>
          <w:tcPr>
            <w:tcW w:type="dxa" w:w="1234"/>
          </w:tcPr>
          <w:p>
            <w:r>
              <w:rPr>
                <w:rFonts w:ascii="Calibri" w:hAnsi="Calibri"/>
                <w:sz w:val="22"/>
              </w:rPr>
              <w:t>21.5%</w:t>
            </w:r>
          </w:p>
        </w:tc>
        <w:tc>
          <w:tcPr>
            <w:tcW w:type="dxa" w:w="1234"/>
          </w:tcPr>
          <w:p>
            <w:r>
              <w:rPr>
                <w:rFonts w:ascii="Calibri" w:hAnsi="Calibri"/>
                <w:sz w:val="22"/>
              </w:rPr>
              <w:t>+300 bps</w:t>
            </w:r>
          </w:p>
        </w:tc>
        <w:tc>
          <w:tcPr>
            <w:tcW w:type="dxa" w:w="1234"/>
          </w:tcPr>
          <w:p>
            <w:r>
              <w:rPr>
                <w:rFonts w:ascii="Calibri" w:hAnsi="Calibri"/>
                <w:sz w:val="22"/>
              </w:rPr>
              <w:t>21.2%</w:t>
            </w:r>
          </w:p>
        </w:tc>
        <w:tc>
          <w:tcPr>
            <w:tcW w:type="dxa" w:w="1234"/>
          </w:tcPr>
          <w:p>
            <w:r>
              <w:rPr>
                <w:rFonts w:ascii="Calibri" w:hAnsi="Calibri"/>
                <w:sz w:val="22"/>
              </w:rPr>
              <w:t>+30 bps</w:t>
            </w:r>
          </w:p>
        </w:tc>
      </w:tr>
      <w:tr>
        <w:tc>
          <w:tcPr>
            <w:tcW w:type="dxa" w:w="1234"/>
          </w:tcPr>
          <w:p>
            <w:r>
              <w:rPr>
                <w:rFonts w:ascii="Calibri" w:hAnsi="Calibri"/>
                <w:sz w:val="22"/>
              </w:rPr>
              <w:t>Gross Margin (%)</w:t>
            </w:r>
          </w:p>
        </w:tc>
        <w:tc>
          <w:tcPr>
            <w:tcW w:type="dxa" w:w="1234"/>
          </w:tcPr>
          <w:p>
            <w:r>
              <w:rPr>
                <w:rFonts w:ascii="Calibri" w:hAnsi="Calibri"/>
                <w:sz w:val="22"/>
              </w:rPr>
              <w:t>37.7%</w:t>
            </w:r>
          </w:p>
        </w:tc>
        <w:tc>
          <w:tcPr>
            <w:tcW w:type="dxa" w:w="1234"/>
          </w:tcPr>
          <w:p>
            <w:r>
              <w:rPr>
                <w:rFonts w:ascii="Calibri" w:hAnsi="Calibri"/>
                <w:sz w:val="22"/>
              </w:rPr>
              <w:t>34.0%</w:t>
            </w:r>
          </w:p>
        </w:tc>
        <w:tc>
          <w:tcPr>
            <w:tcW w:type="dxa" w:w="1234"/>
          </w:tcPr>
          <w:p>
            <w:r>
              <w:rPr>
                <w:rFonts w:ascii="Calibri" w:hAnsi="Calibri"/>
                <w:sz w:val="22"/>
              </w:rPr>
              <w:t>36.1%</w:t>
            </w:r>
          </w:p>
        </w:tc>
        <w:tc>
          <w:tcPr>
            <w:tcW w:type="dxa" w:w="1234"/>
          </w:tcPr>
          <w:p>
            <w:r>
              <w:rPr>
                <w:rFonts w:ascii="Calibri" w:hAnsi="Calibri"/>
                <w:sz w:val="22"/>
              </w:rPr>
              <w:t>+210 bps</w:t>
            </w:r>
          </w:p>
        </w:tc>
        <w:tc>
          <w:tcPr>
            <w:tcW w:type="dxa" w:w="1234"/>
          </w:tcPr>
          <w:p>
            <w:r>
              <w:rPr>
                <w:rFonts w:ascii="Calibri" w:hAnsi="Calibri"/>
                <w:sz w:val="22"/>
              </w:rPr>
              <w:t>N/A — not guided</w:t>
            </w:r>
          </w:p>
        </w:tc>
        <w:tc>
          <w:tcPr>
            <w:tcW w:type="dxa" w:w="1234"/>
          </w:tcPr>
          <w:p>
            <w:r>
              <w:rPr>
                <w:rFonts w:ascii="Calibri" w:hAnsi="Calibri"/>
                <w:sz w:val="22"/>
              </w:rPr>
              <w:t>N/A</w:t>
            </w:r>
          </w:p>
        </w:tc>
      </w:tr>
      <w:tr>
        <w:tc>
          <w:tcPr>
            <w:tcW w:type="dxa" w:w="1234"/>
          </w:tcPr>
          <w:p>
            <w:r>
              <w:rPr>
                <w:rFonts w:ascii="Calibri" w:hAnsi="Calibri"/>
                <w:sz w:val="22"/>
              </w:rPr>
              <w:t>Net Sales — Americas ($B)</w:t>
            </w:r>
          </w:p>
        </w:tc>
        <w:tc>
          <w:tcPr>
            <w:tcW w:type="dxa" w:w="1234"/>
          </w:tcPr>
          <w:p>
            <w:r>
              <w:rPr>
                <w:rFonts w:ascii="Calibri" w:hAnsi="Calibri"/>
                <w:sz w:val="22"/>
              </w:rPr>
              <w:t>$1.814B</w:t>
            </w:r>
          </w:p>
        </w:tc>
        <w:tc>
          <w:tcPr>
            <w:tcW w:type="dxa" w:w="1234"/>
          </w:tcPr>
          <w:p>
            <w:r>
              <w:rPr>
                <w:rFonts w:ascii="Calibri" w:hAnsi="Calibri"/>
                <w:sz w:val="22"/>
              </w:rPr>
              <w:t>$1.602B</w:t>
            </w:r>
          </w:p>
        </w:tc>
        <w:tc>
          <w:tcPr>
            <w:tcW w:type="dxa" w:w="1234"/>
          </w:tcPr>
          <w:p>
            <w:r>
              <w:rPr>
                <w:rFonts w:ascii="Calibri" w:hAnsi="Calibri"/>
                <w:sz w:val="22"/>
              </w:rPr>
              <w:t>$2.285B</w:t>
            </w:r>
          </w:p>
        </w:tc>
        <w:tc>
          <w:tcPr>
            <w:tcW w:type="dxa" w:w="1234"/>
          </w:tcPr>
          <w:p>
            <w:r>
              <w:rPr>
                <w:rFonts w:ascii="Calibri" w:hAnsi="Calibri"/>
                <w:sz w:val="22"/>
              </w:rPr>
              <w:t>+42.6%</w:t>
            </w:r>
          </w:p>
        </w:tc>
        <w:tc>
          <w:tcPr>
            <w:tcW w:type="dxa" w:w="1234"/>
          </w:tcPr>
          <w:p>
            <w:r>
              <w:rPr>
                <w:rFonts w:ascii="Calibri" w:hAnsi="Calibri"/>
                <w:sz w:val="22"/>
              </w:rPr>
              <w:t>High 30s% organic</w:t>
            </w:r>
          </w:p>
        </w:tc>
        <w:tc>
          <w:tcPr>
            <w:tcW w:type="dxa" w:w="1234"/>
          </w:tcPr>
          <w:p>
            <w:r>
              <w:rPr>
                <w:rFonts w:ascii="Calibri" w:hAnsi="Calibri"/>
                <w:sz w:val="22"/>
              </w:rPr>
              <w:t>N/A</w:t>
            </w:r>
          </w:p>
        </w:tc>
      </w:tr>
      <w:tr>
        <w:tc>
          <w:tcPr>
            <w:tcW w:type="dxa" w:w="1234"/>
          </w:tcPr>
          <w:p>
            <w:r>
              <w:rPr>
                <w:rFonts w:ascii="Calibri" w:hAnsi="Calibri"/>
                <w:sz w:val="22"/>
              </w:rPr>
              <w:t>Net Sales — EMEA ($B)</w:t>
            </w:r>
          </w:p>
        </w:tc>
        <w:tc>
          <w:tcPr>
            <w:tcW w:type="dxa" w:w="1234"/>
          </w:tcPr>
          <w:p>
            <w:r>
              <w:rPr>
                <w:rFonts w:ascii="Calibri" w:hAnsi="Calibri"/>
                <w:sz w:val="22"/>
              </w:rPr>
              <w:t>$0.321B</w:t>
            </w:r>
          </w:p>
        </w:tc>
        <w:tc>
          <w:tcPr>
            <w:tcW w:type="dxa" w:w="1234"/>
          </w:tcPr>
          <w:p>
            <w:r>
              <w:rPr>
                <w:rFonts w:ascii="Calibri" w:hAnsi="Calibri"/>
                <w:sz w:val="22"/>
              </w:rPr>
              <w:t>$0.476B</w:t>
            </w:r>
          </w:p>
        </w:tc>
        <w:tc>
          <w:tcPr>
            <w:tcW w:type="dxa" w:w="1234"/>
          </w:tcPr>
          <w:p>
            <w:r>
              <w:rPr>
                <w:rFonts w:ascii="Calibri" w:hAnsi="Calibri"/>
                <w:sz w:val="22"/>
              </w:rPr>
              <w:t>$0.456B</w:t>
            </w:r>
          </w:p>
        </w:tc>
        <w:tc>
          <w:tcPr>
            <w:tcW w:type="dxa" w:w="1234"/>
          </w:tcPr>
          <w:p>
            <w:r>
              <w:rPr>
                <w:rFonts w:ascii="Calibri" w:hAnsi="Calibri"/>
                <w:sz w:val="22"/>
              </w:rPr>
              <w:t>-4.2%</w:t>
            </w:r>
          </w:p>
        </w:tc>
        <w:tc>
          <w:tcPr>
            <w:tcW w:type="dxa" w:w="1234"/>
          </w:tcPr>
          <w:p>
            <w:r>
              <w:rPr>
                <w:rFonts w:ascii="Calibri" w:hAnsi="Calibri"/>
                <w:sz w:val="22"/>
              </w:rPr>
              <w:t>Flat organic FY</w:t>
            </w:r>
          </w:p>
        </w:tc>
        <w:tc>
          <w:tcPr>
            <w:tcW w:type="dxa" w:w="1234"/>
          </w:tcPr>
          <w:p>
            <w:r>
              <w:rPr>
                <w:rFonts w:ascii="Calibri" w:hAnsi="Calibri"/>
                <w:sz w:val="22"/>
              </w:rPr>
              <w:t>N/A</w:t>
            </w:r>
          </w:p>
        </w:tc>
      </w:tr>
      <w:tr>
        <w:tc>
          <w:tcPr>
            <w:tcW w:type="dxa" w:w="1234"/>
          </w:tcPr>
          <w:p>
            <w:r>
              <w:rPr>
                <w:rFonts w:ascii="Calibri" w:hAnsi="Calibri"/>
                <w:sz w:val="22"/>
              </w:rPr>
              <w:t>Net Sales — Asia Pacific ($B)</w:t>
            </w:r>
          </w:p>
        </w:tc>
        <w:tc>
          <w:tcPr>
            <w:tcW w:type="dxa" w:w="1234"/>
          </w:tcPr>
          <w:p>
            <w:r>
              <w:rPr>
                <w:rFonts w:ascii="Calibri" w:hAnsi="Calibri"/>
                <w:sz w:val="22"/>
              </w:rPr>
              <w:t>$0.514B</w:t>
            </w:r>
          </w:p>
        </w:tc>
        <w:tc>
          <w:tcPr>
            <w:tcW w:type="dxa" w:w="1234"/>
          </w:tcPr>
          <w:p>
            <w:r>
              <w:rPr>
                <w:rFonts w:ascii="Calibri" w:hAnsi="Calibri"/>
                <w:sz w:val="22"/>
              </w:rPr>
              <w:t>$0.560B</w:t>
            </w:r>
          </w:p>
        </w:tc>
        <w:tc>
          <w:tcPr>
            <w:tcW w:type="dxa" w:w="1234"/>
          </w:tcPr>
          <w:p>
            <w:r>
              <w:rPr>
                <w:rFonts w:ascii="Calibri" w:hAnsi="Calibri"/>
                <w:sz w:val="22"/>
              </w:rPr>
              <w:t>$0.656B</w:t>
            </w:r>
          </w:p>
        </w:tc>
        <w:tc>
          <w:tcPr>
            <w:tcW w:type="dxa" w:w="1234"/>
          </w:tcPr>
          <w:p>
            <w:r>
              <w:rPr>
                <w:rFonts w:ascii="Calibri" w:hAnsi="Calibri"/>
                <w:sz w:val="22"/>
              </w:rPr>
              <w:t>+17.1%</w:t>
            </w:r>
          </w:p>
        </w:tc>
        <w:tc>
          <w:tcPr>
            <w:tcW w:type="dxa" w:w="1234"/>
          </w:tcPr>
          <w:p>
            <w:r>
              <w:rPr>
                <w:rFonts w:ascii="Calibri" w:hAnsi="Calibri"/>
                <w:sz w:val="22"/>
              </w:rPr>
              <w:t>Mid-20s% organic FY</w:t>
            </w:r>
          </w:p>
        </w:tc>
        <w:tc>
          <w:tcPr>
            <w:tcW w:type="dxa" w:w="1234"/>
          </w:tcPr>
          <w:p>
            <w:r>
              <w:rPr>
                <w:rFonts w:ascii="Calibri" w:hAnsi="Calibri"/>
                <w:sz w:val="22"/>
              </w:rPr>
              <w:t>N/A</w:t>
            </w:r>
          </w:p>
        </w:tc>
      </w:tr>
      <w:tr>
        <w:tc>
          <w:tcPr>
            <w:tcW w:type="dxa" w:w="1234"/>
          </w:tcPr>
          <w:p>
            <w:r>
              <w:rPr>
                <w:rFonts w:ascii="Calibri" w:hAnsi="Calibri"/>
                <w:sz w:val="22"/>
              </w:rPr>
              <w:t>Net Sales — Services ($B)</w:t>
            </w:r>
          </w:p>
        </w:tc>
        <w:tc>
          <w:tcPr>
            <w:tcW w:type="dxa" w:w="1234"/>
          </w:tcPr>
          <w:p>
            <w:r>
              <w:rPr>
                <w:rFonts w:ascii="Calibri" w:hAnsi="Calibri"/>
                <w:sz w:val="22"/>
              </w:rPr>
              <w:t>$0.514B</w:t>
            </w:r>
          </w:p>
        </w:tc>
        <w:tc>
          <w:tcPr>
            <w:tcW w:type="dxa" w:w="1234"/>
          </w:tcPr>
          <w:p>
            <w:r>
              <w:rPr>
                <w:rFonts w:ascii="Calibri" w:hAnsi="Calibri"/>
                <w:sz w:val="22"/>
              </w:rPr>
              <w:t>$0.472B</w:t>
            </w:r>
          </w:p>
        </w:tc>
        <w:tc>
          <w:tcPr>
            <w:tcW w:type="dxa" w:w="1234"/>
          </w:tcPr>
          <w:p>
            <w:r>
              <w:rPr>
                <w:rFonts w:ascii="Calibri" w:hAnsi="Calibri"/>
                <w:sz w:val="22"/>
              </w:rPr>
              <w:t>$0.633B</w:t>
            </w:r>
          </w:p>
        </w:tc>
        <w:tc>
          <w:tcPr>
            <w:tcW w:type="dxa" w:w="1234"/>
          </w:tcPr>
          <w:p>
            <w:r>
              <w:rPr>
                <w:rFonts w:ascii="Calibri" w:hAnsi="Calibri"/>
                <w:sz w:val="22"/>
              </w:rPr>
              <w:t>+34.0%</w:t>
            </w:r>
          </w:p>
        </w:tc>
        <w:tc>
          <w:tcPr>
            <w:tcW w:type="dxa" w:w="1234"/>
          </w:tcPr>
          <w:p>
            <w:r>
              <w:rPr>
                <w:rFonts w:ascii="Calibri" w:hAnsi="Calibri"/>
                <w:sz w:val="22"/>
              </w:rPr>
              <w:t>N/A — not guided</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$652.8M</w:t>
            </w:r>
          </w:p>
        </w:tc>
        <w:tc>
          <w:tcPr>
            <w:tcW w:type="dxa" w:w="1234"/>
          </w:tcPr>
          <w:p>
            <w:r>
              <w:rPr>
                <w:rFonts w:ascii="Calibri" w:hAnsi="Calibri"/>
                <w:sz w:val="22"/>
              </w:rPr>
              <w:t>$277.0M</w:t>
            </w:r>
          </w:p>
        </w:tc>
        <w:tc>
          <w:tcPr>
            <w:tcW w:type="dxa" w:w="1234"/>
          </w:tcPr>
          <w:p>
            <w:r>
              <w:rPr>
                <w:rFonts w:ascii="Calibri" w:hAnsi="Calibri"/>
                <w:sz w:val="22"/>
              </w:rPr>
              <w:t>$332.9M</w:t>
            </w:r>
          </w:p>
        </w:tc>
        <w:tc>
          <w:tcPr>
            <w:tcW w:type="dxa" w:w="1234"/>
          </w:tcPr>
          <w:p>
            <w:r>
              <w:rPr>
                <w:rFonts w:ascii="Calibri" w:hAnsi="Calibri"/>
                <w:sz w:val="22"/>
              </w:rPr>
              <w:t>+20.2%</w:t>
            </w:r>
          </w:p>
        </w:tc>
        <w:tc>
          <w:tcPr>
            <w:tcW w:type="dxa" w:w="1234"/>
          </w:tcPr>
          <w:p>
            <w:r>
              <w:rPr>
                <w:rFonts w:ascii="Calibri" w:hAnsi="Calibri"/>
                <w:sz w:val="22"/>
              </w:rPr>
              <w:t>FY $2.2B midpoint</w:t>
            </w:r>
          </w:p>
        </w:tc>
        <w:tc>
          <w:tcPr>
            <w:tcW w:type="dxa" w:w="1234"/>
          </w:tcPr>
          <w:p>
            <w:r>
              <w:rPr>
                <w:rFonts w:ascii="Calibri" w:hAnsi="Calibri"/>
                <w:sz w:val="22"/>
              </w:rPr>
              <w:t>N/A</w:t>
            </w:r>
          </w:p>
        </w:tc>
      </w:tr>
    </w:tbl>
    <w:p>
      <w:r>
        <w:rPr>
          <w:rFonts w:ascii="Calibri" w:hAnsi="Calibri"/>
          <w:i/>
          <w:color w:val="525866"/>
          <w:sz w:val="22"/>
        </w:rPr>
        <w:t>Sources: Visible Alpha consensus and actuals data. Q2 2026 guidance midpoints from Q1 2026 earnings call (April 22, 2026). Consensus vs. Guidance % delta = (Consensus − Guidance Midpoint) / Guidance Midpoint. EMEA Q2 2026 consensus of $0.456B implies a sequential recovery from Q1’s $0.321B but still below Q2 2025’s $0.476B — the market is not yet pricing a full EMEA recovery in Q2.</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Net Sales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$1.953B</w:t>
            </w:r>
          </w:p>
        </w:tc>
        <w:tc>
          <w:tcPr>
            <w:tcW w:type="dxa" w:w="1728"/>
          </w:tcPr>
          <w:p>
            <w:r>
              <w:rPr>
                <w:rFonts w:ascii="Calibri" w:hAnsi="Calibri"/>
                <w:sz w:val="22"/>
              </w:rPr>
              <w:t>$1.940B</w:t>
            </w:r>
          </w:p>
        </w:tc>
        <w:tc>
          <w:tcPr>
            <w:tcW w:type="dxa" w:w="1728"/>
          </w:tcPr>
          <w:p>
            <w:r>
              <w:rPr>
                <w:rFonts w:ascii="Calibri" w:hAnsi="Calibri"/>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$2.074B</w:t>
            </w:r>
          </w:p>
        </w:tc>
        <w:tc>
          <w:tcPr>
            <w:tcW w:type="dxa" w:w="1728"/>
          </w:tcPr>
          <w:p>
            <w:r>
              <w:rPr>
                <w:rFonts w:ascii="Calibri" w:hAnsi="Calibri"/>
                <w:sz w:val="22"/>
              </w:rPr>
              <w:t>$1.976B</w:t>
            </w:r>
          </w:p>
        </w:tc>
        <w:tc>
          <w:tcPr>
            <w:tcW w:type="dxa" w:w="1728"/>
          </w:tcPr>
          <w:p>
            <w:r>
              <w:rPr>
                <w:rFonts w:ascii="Calibri" w:hAnsi="Calibri"/>
                <w:sz w:val="22"/>
              </w:rPr>
              <w:t>+5.0%</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$2.346B</w:t>
            </w:r>
          </w:p>
        </w:tc>
        <w:tc>
          <w:tcPr>
            <w:tcW w:type="dxa" w:w="1728"/>
          </w:tcPr>
          <w:p>
            <w:r>
              <w:rPr>
                <w:rFonts w:ascii="Calibri" w:hAnsi="Calibri"/>
                <w:sz w:val="22"/>
              </w:rPr>
              <w:t>$2.156B</w:t>
            </w:r>
          </w:p>
        </w:tc>
        <w:tc>
          <w:tcPr>
            <w:tcW w:type="dxa" w:w="1728"/>
          </w:tcPr>
          <w:p>
            <w:r>
              <w:rPr>
                <w:rFonts w:ascii="Calibri" w:hAnsi="Calibri"/>
                <w:sz w:val="22"/>
              </w:rPr>
              <w:t>+8.8%</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$2.036B</w:t>
            </w:r>
          </w:p>
        </w:tc>
        <w:tc>
          <w:tcPr>
            <w:tcW w:type="dxa" w:w="1728"/>
          </w:tcPr>
          <w:p>
            <w:r>
              <w:rPr>
                <w:rFonts w:ascii="Calibri" w:hAnsi="Calibri"/>
                <w:sz w:val="22"/>
              </w:rPr>
              <w:t>$1.937B</w:t>
            </w:r>
          </w:p>
        </w:tc>
        <w:tc>
          <w:tcPr>
            <w:tcW w:type="dxa" w:w="1728"/>
          </w:tcPr>
          <w:p>
            <w:r>
              <w:rPr>
                <w:rFonts w:ascii="Calibri" w:hAnsi="Calibri"/>
                <w:sz w:val="22"/>
              </w:rPr>
              <w:t>+5.1%</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$2.638B</w:t>
            </w:r>
          </w:p>
        </w:tc>
        <w:tc>
          <w:tcPr>
            <w:tcW w:type="dxa" w:w="1728"/>
          </w:tcPr>
          <w:p>
            <w:r>
              <w:rPr>
                <w:rFonts w:ascii="Calibri" w:hAnsi="Calibri"/>
                <w:sz w:val="22"/>
              </w:rPr>
              <w:t>$2.356B</w:t>
            </w:r>
          </w:p>
        </w:tc>
        <w:tc>
          <w:tcPr>
            <w:tcW w:type="dxa" w:w="1728"/>
          </w:tcPr>
          <w:p>
            <w:r>
              <w:rPr>
                <w:rFonts w:ascii="Calibri" w:hAnsi="Calibri"/>
                <w:sz w:val="22"/>
              </w:rPr>
              <w:t>+12.0%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$2.676B</w:t>
            </w:r>
          </w:p>
        </w:tc>
        <w:tc>
          <w:tcPr>
            <w:tcW w:type="dxa" w:w="1728"/>
          </w:tcPr>
          <w:p>
            <w:r>
              <w:rPr>
                <w:rFonts w:ascii="Calibri" w:hAnsi="Calibri"/>
                <w:sz w:val="22"/>
              </w:rPr>
              <w:t>$2.588B</w:t>
            </w:r>
          </w:p>
        </w:tc>
        <w:tc>
          <w:tcPr>
            <w:tcW w:type="dxa" w:w="1728"/>
          </w:tcPr>
          <w:p>
            <w:r>
              <w:rPr>
                <w:rFonts w:ascii="Calibri" w:hAnsi="Calibri"/>
                <w:sz w:val="22"/>
              </w:rPr>
              <w:t>+3.4%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$2.880B</w:t>
            </w:r>
          </w:p>
        </w:tc>
        <w:tc>
          <w:tcPr>
            <w:tcW w:type="dxa" w:w="1728"/>
          </w:tcPr>
          <w:p>
            <w:r>
              <w:rPr>
                <w:rFonts w:ascii="Calibri" w:hAnsi="Calibri"/>
                <w:sz w:val="22"/>
              </w:rPr>
              <w:t>$2.884B</w:t>
            </w:r>
          </w:p>
        </w:tc>
        <w:tc>
          <w:tcPr>
            <w:tcW w:type="dxa" w:w="1728"/>
          </w:tcPr>
          <w:p>
            <w:r>
              <w:rPr>
                <w:rFonts w:ascii="Calibri" w:hAnsi="Calibri"/>
                <w:sz w:val="22"/>
              </w:rPr>
              <w:t>-0.1%</w:t>
            </w:r>
          </w:p>
        </w:tc>
        <w:tc>
          <w:tcPr>
            <w:tcW w:type="dxa" w:w="1728"/>
          </w:tcPr>
          <w:p>
            <w:r>
              <w:rPr>
                <w:rFonts w:ascii="Calibri" w:hAnsi="Calibri"/>
                <w:b/>
                <w:color w:val="002FA7"/>
                <w:sz w:val="22"/>
              </w:rPr>
              <w:t>In-Line</w:t>
            </w:r>
          </w:p>
        </w:tc>
      </w:tr>
      <w:tr>
        <w:tc>
          <w:tcPr>
            <w:tcW w:type="dxa" w:w="1728"/>
          </w:tcPr>
          <w:p>
            <w:r>
              <w:rPr>
                <w:rFonts w:ascii="Calibri" w:hAnsi="Calibri"/>
                <w:sz w:val="22"/>
              </w:rPr>
              <w:t>Q1 2026</w:t>
            </w:r>
          </w:p>
        </w:tc>
        <w:tc>
          <w:tcPr>
            <w:tcW w:type="dxa" w:w="1728"/>
          </w:tcPr>
          <w:p>
            <w:r>
              <w:rPr>
                <w:rFonts w:ascii="Calibri" w:hAnsi="Calibri"/>
                <w:sz w:val="22"/>
              </w:rPr>
              <w:t>$2.650B</w:t>
            </w:r>
          </w:p>
        </w:tc>
        <w:tc>
          <w:tcPr>
            <w:tcW w:type="dxa" w:w="1728"/>
          </w:tcPr>
          <w:p>
            <w:r>
              <w:rPr>
                <w:rFonts w:ascii="Calibri" w:hAnsi="Calibri"/>
                <w:sz w:val="22"/>
              </w:rPr>
              <w:t>$2.646B</w:t>
            </w:r>
          </w:p>
        </w:tc>
        <w:tc>
          <w:tcPr>
            <w:tcW w:type="dxa" w:w="1728"/>
          </w:tcPr>
          <w:p>
            <w:r>
              <w:rPr>
                <w:rFonts w:ascii="Calibri" w:hAnsi="Calibri"/>
                <w:sz w:val="22"/>
              </w:rPr>
              <w:t>+0.1%</w:t>
            </w:r>
          </w:p>
        </w:tc>
        <w:tc>
          <w:tcPr>
            <w:tcW w:type="dxa" w:w="1728"/>
          </w:tcPr>
          <w:p>
            <w:r>
              <w:rPr>
                <w:rFonts w:ascii="Calibri" w:hAnsi="Calibri"/>
                <w:b/>
                <w:color w:val="002FA7"/>
                <w:sz w:val="22"/>
              </w:rPr>
              <w:t>In-Line</w:t>
            </w:r>
          </w:p>
        </w:tc>
      </w:tr>
    </w:tbl>
    <w:p>
      <w:pPr>
        <w:pStyle w:val="Heading3"/>
      </w:pPr>
      <w:r>
        <w:rPr>
          <w:rFonts w:ascii="Calibri" w:hAnsi="Calibri"/>
          <w:b/>
          <w:color w:val="3B4259"/>
          <w:sz w:val="24"/>
        </w:rPr>
        <w:t>Adjusted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$0.67</w:t>
            </w:r>
          </w:p>
        </w:tc>
        <w:tc>
          <w:tcPr>
            <w:tcW w:type="dxa" w:w="1728"/>
          </w:tcPr>
          <w:p>
            <w:r>
              <w:rPr>
                <w:rFonts w:ascii="Calibri" w:hAnsi="Calibri"/>
                <w:sz w:val="22"/>
              </w:rPr>
              <w:t>$0.57</w:t>
            </w:r>
          </w:p>
        </w:tc>
        <w:tc>
          <w:tcPr>
            <w:tcW w:type="dxa" w:w="1728"/>
          </w:tcPr>
          <w:p>
            <w:r>
              <w:rPr>
                <w:rFonts w:ascii="Calibri" w:hAnsi="Calibri"/>
                <w:sz w:val="22"/>
              </w:rPr>
              <w:t>+17.5%</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$0.76</w:t>
            </w:r>
          </w:p>
        </w:tc>
        <w:tc>
          <w:tcPr>
            <w:tcW w:type="dxa" w:w="1728"/>
          </w:tcPr>
          <w:p>
            <w:r>
              <w:rPr>
                <w:rFonts w:ascii="Calibri" w:hAnsi="Calibri"/>
                <w:sz w:val="22"/>
              </w:rPr>
              <w:t>$0.69</w:t>
            </w:r>
          </w:p>
        </w:tc>
        <w:tc>
          <w:tcPr>
            <w:tcW w:type="dxa" w:w="1728"/>
          </w:tcPr>
          <w:p>
            <w:r>
              <w:rPr>
                <w:rFonts w:ascii="Calibri" w:hAnsi="Calibri"/>
                <w:sz w:val="22"/>
              </w:rPr>
              <w:t>+10.5%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$0.99</w:t>
            </w:r>
          </w:p>
        </w:tc>
        <w:tc>
          <w:tcPr>
            <w:tcW w:type="dxa" w:w="1728"/>
          </w:tcPr>
          <w:p>
            <w:r>
              <w:rPr>
                <w:rFonts w:ascii="Calibri" w:hAnsi="Calibri"/>
                <w:sz w:val="22"/>
              </w:rPr>
              <w:t>$0.82</w:t>
            </w:r>
          </w:p>
        </w:tc>
        <w:tc>
          <w:tcPr>
            <w:tcW w:type="dxa" w:w="1728"/>
          </w:tcPr>
          <w:p>
            <w:r>
              <w:rPr>
                <w:rFonts w:ascii="Calibri" w:hAnsi="Calibri"/>
                <w:sz w:val="22"/>
              </w:rPr>
              <w:t>+20.7%</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$0.64</w:t>
            </w:r>
          </w:p>
        </w:tc>
        <w:tc>
          <w:tcPr>
            <w:tcW w:type="dxa" w:w="1728"/>
          </w:tcPr>
          <w:p>
            <w:r>
              <w:rPr>
                <w:rFonts w:ascii="Calibri" w:hAnsi="Calibri"/>
                <w:sz w:val="22"/>
              </w:rPr>
              <w:t>$0.62</w:t>
            </w:r>
          </w:p>
        </w:tc>
        <w:tc>
          <w:tcPr>
            <w:tcW w:type="dxa" w:w="1728"/>
          </w:tcPr>
          <w:p>
            <w:r>
              <w:rPr>
                <w:rFonts w:ascii="Calibri" w:hAnsi="Calibri"/>
                <w:sz w:val="22"/>
              </w:rPr>
              <w:t>+3.9%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$0.95</w:t>
            </w:r>
          </w:p>
        </w:tc>
        <w:tc>
          <w:tcPr>
            <w:tcW w:type="dxa" w:w="1728"/>
          </w:tcPr>
          <w:p>
            <w:r>
              <w:rPr>
                <w:rFonts w:ascii="Calibri" w:hAnsi="Calibri"/>
                <w:sz w:val="22"/>
              </w:rPr>
              <w:t>$0.84</w:t>
            </w:r>
          </w:p>
        </w:tc>
        <w:tc>
          <w:tcPr>
            <w:tcW w:type="dxa" w:w="1728"/>
          </w:tcPr>
          <w:p>
            <w:r>
              <w:rPr>
                <w:rFonts w:ascii="Calibri" w:hAnsi="Calibri"/>
                <w:sz w:val="22"/>
              </w:rPr>
              <w:t>+13.1%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$1.24</w:t>
            </w:r>
          </w:p>
        </w:tc>
        <w:tc>
          <w:tcPr>
            <w:tcW w:type="dxa" w:w="1728"/>
          </w:tcPr>
          <w:p>
            <w:r>
              <w:rPr>
                <w:rFonts w:ascii="Calibri" w:hAnsi="Calibri"/>
                <w:sz w:val="22"/>
              </w:rPr>
              <w:t>$0.99</w:t>
            </w:r>
          </w:p>
        </w:tc>
        <w:tc>
          <w:tcPr>
            <w:tcW w:type="dxa" w:w="1728"/>
          </w:tcPr>
          <w:p>
            <w:r>
              <w:rPr>
                <w:rFonts w:ascii="Calibri" w:hAnsi="Calibri"/>
                <w:sz w:val="22"/>
              </w:rPr>
              <w:t>+25.4%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$1.36</w:t>
            </w:r>
          </w:p>
        </w:tc>
        <w:tc>
          <w:tcPr>
            <w:tcW w:type="dxa" w:w="1728"/>
          </w:tcPr>
          <w:p>
            <w:r>
              <w:rPr>
                <w:rFonts w:ascii="Calibri" w:hAnsi="Calibri"/>
                <w:sz w:val="22"/>
              </w:rPr>
              <w:t>$1.29</w:t>
            </w:r>
          </w:p>
        </w:tc>
        <w:tc>
          <w:tcPr>
            <w:tcW w:type="dxa" w:w="1728"/>
          </w:tcPr>
          <w:p>
            <w:r>
              <w:rPr>
                <w:rFonts w:ascii="Calibri" w:hAnsi="Calibri"/>
                <w:sz w:val="22"/>
              </w:rPr>
              <w:t>+5.4%</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$1.17</w:t>
            </w:r>
          </w:p>
        </w:tc>
        <w:tc>
          <w:tcPr>
            <w:tcW w:type="dxa" w:w="1728"/>
          </w:tcPr>
          <w:p>
            <w:r>
              <w:rPr>
                <w:rFonts w:ascii="Calibri" w:hAnsi="Calibri"/>
                <w:sz w:val="22"/>
              </w:rPr>
              <w:t>$1.01</w:t>
            </w:r>
          </w:p>
        </w:tc>
        <w:tc>
          <w:tcPr>
            <w:tcW w:type="dxa" w:w="1728"/>
          </w:tcPr>
          <w:p>
            <w:r>
              <w:rPr>
                <w:rFonts w:ascii="Calibri" w:hAnsi="Calibri"/>
                <w:sz w:val="22"/>
              </w:rPr>
              <w:t>+15.8%</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VRT has beaten adjusted EPS consensus in all 8 of the last 8 quarters, with an average surprise of +14.0%; revenue beats have been consistent but more modest, with Q4 2025 and Q1 2026 coming in essentially in-line as the consensus bar has caught up to management’s guidance discipline. The EPS beat pattern is the more durable signal — driven by operating leverage and margin outperformance rather than revenue upside.</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Management raised full-year 2026 guidance meaningfully at Q1 earnings (April 22) and left it unchanged at the May Investor Conference — the tone has been consistently confident, with the only notable shift being a more explicit acknowledgment that Q1-to-Q2 incremental margins will dip before recovering through H2.</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Net Sales</w:t>
            </w:r>
          </w:p>
        </w:tc>
        <w:tc>
          <w:tcPr>
            <w:tcW w:type="dxa" w:w="1728"/>
          </w:tcPr>
          <w:p>
            <w:r>
              <w:rPr>
                <w:rFonts w:ascii="Calibri" w:hAnsi="Calibri"/>
                <w:sz w:val="22"/>
              </w:rPr>
              <w:t>$3.30B–$3.40B ($3.35B mid)</w:t>
            </w:r>
          </w:p>
        </w:tc>
        <w:tc>
          <w:tcPr>
            <w:tcW w:type="dxa" w:w="1728"/>
          </w:tcPr>
          <w:p>
            <w:r>
              <w:rPr>
                <w:rFonts w:ascii="Calibri" w:hAnsi="Calibri"/>
                <w:sz w:val="22"/>
              </w:rPr>
              <w:t>—</w:t>
            </w:r>
          </w:p>
        </w:tc>
        <w:tc>
          <w:tcPr>
            <w:tcW w:type="dxa" w:w="1728"/>
          </w:tcPr>
          <w:p>
            <w:r>
              <w:rPr>
                <w:rFonts w:ascii="Calibri" w:hAnsi="Calibri"/>
                <w:sz w:val="22"/>
              </w:rPr>
              <w:t>$3.391B</w:t>
            </w:r>
          </w:p>
        </w:tc>
        <w:tc>
          <w:tcPr>
            <w:tcW w:type="dxa" w:w="1728"/>
          </w:tcPr>
          <w:p>
            <w:r>
              <w:rPr>
                <w:rFonts w:ascii="Calibri" w:hAnsi="Calibri"/>
                <w:sz w:val="22"/>
              </w:rPr>
              <w:t>Unchanged; consensus +1.2% above midpoint</w:t>
            </w:r>
          </w:p>
        </w:tc>
      </w:tr>
      <w:tr>
        <w:tc>
          <w:tcPr>
            <w:tcW w:type="dxa" w:w="1728"/>
          </w:tcPr>
          <w:p>
            <w:r>
              <w:rPr>
                <w:rFonts w:ascii="Calibri" w:hAnsi="Calibri"/>
                <w:sz w:val="22"/>
              </w:rPr>
              <w:t>Q2 2026 Adj. Operating Profit</w:t>
            </w:r>
          </w:p>
        </w:tc>
        <w:tc>
          <w:tcPr>
            <w:tcW w:type="dxa" w:w="1728"/>
          </w:tcPr>
          <w:p>
            <w:r>
              <w:rPr>
                <w:rFonts w:ascii="Calibri" w:hAnsi="Calibri"/>
                <w:sz w:val="22"/>
              </w:rPr>
              <w:t>$695M–$725M ($710M mid)</w:t>
            </w:r>
          </w:p>
        </w:tc>
        <w:tc>
          <w:tcPr>
            <w:tcW w:type="dxa" w:w="1728"/>
          </w:tcPr>
          <w:p>
            <w:r>
              <w:rPr>
                <w:rFonts w:ascii="Calibri" w:hAnsi="Calibri"/>
                <w:sz w:val="22"/>
              </w:rPr>
              <w:t>—</w:t>
            </w:r>
          </w:p>
        </w:tc>
        <w:tc>
          <w:tcPr>
            <w:tcW w:type="dxa" w:w="1728"/>
          </w:tcPr>
          <w:p>
            <w:r>
              <w:rPr>
                <w:rFonts w:ascii="Calibri" w:hAnsi="Calibri"/>
                <w:sz w:val="22"/>
              </w:rPr>
              <w:t>$728.9M</w:t>
            </w:r>
          </w:p>
        </w:tc>
        <w:tc>
          <w:tcPr>
            <w:tcW w:type="dxa" w:w="1728"/>
          </w:tcPr>
          <w:p>
            <w:r>
              <w:rPr>
                <w:rFonts w:ascii="Calibri" w:hAnsi="Calibri"/>
                <w:sz w:val="22"/>
              </w:rPr>
              <w:t>Unchanged; consensus +2.7% above midpoint</w:t>
            </w:r>
          </w:p>
        </w:tc>
      </w:tr>
      <w:tr>
        <w:tc>
          <w:tcPr>
            <w:tcW w:type="dxa" w:w="1728"/>
          </w:tcPr>
          <w:p>
            <w:r>
              <w:rPr>
                <w:rFonts w:ascii="Calibri" w:hAnsi="Calibri"/>
                <w:sz w:val="22"/>
              </w:rPr>
              <w:t>Q2 2026 Adj. Operating Margin</w:t>
            </w:r>
          </w:p>
        </w:tc>
        <w:tc>
          <w:tcPr>
            <w:tcW w:type="dxa" w:w="1728"/>
          </w:tcPr>
          <w:p>
            <w:r>
              <w:rPr>
                <w:rFonts w:ascii="Calibri" w:hAnsi="Calibri"/>
                <w:sz w:val="22"/>
              </w:rPr>
              <w:t>21.2% midpoint (+270 bps YoY)</w:t>
            </w:r>
          </w:p>
        </w:tc>
        <w:tc>
          <w:tcPr>
            <w:tcW w:type="dxa" w:w="1728"/>
          </w:tcPr>
          <w:p>
            <w:r>
              <w:rPr>
                <w:rFonts w:ascii="Calibri" w:hAnsi="Calibri"/>
                <w:sz w:val="22"/>
              </w:rPr>
              <w:t>—</w:t>
            </w:r>
          </w:p>
        </w:tc>
        <w:tc>
          <w:tcPr>
            <w:tcW w:type="dxa" w:w="1728"/>
          </w:tcPr>
          <w:p>
            <w:r>
              <w:rPr>
                <w:rFonts w:ascii="Calibri" w:hAnsi="Calibri"/>
                <w:sz w:val="22"/>
              </w:rPr>
              <w:t>21.5%</w:t>
            </w:r>
          </w:p>
        </w:tc>
        <w:tc>
          <w:tcPr>
            <w:tcW w:type="dxa" w:w="1728"/>
          </w:tcPr>
          <w:p>
            <w:r>
              <w:rPr>
                <w:rFonts w:ascii="Calibri" w:hAnsi="Calibri"/>
                <w:sz w:val="22"/>
              </w:rPr>
              <w:t>Unchanged; consensus 30 bps above midpoint</w:t>
            </w:r>
          </w:p>
        </w:tc>
      </w:tr>
      <w:tr>
        <w:tc>
          <w:tcPr>
            <w:tcW w:type="dxa" w:w="1728"/>
          </w:tcPr>
          <w:p>
            <w:r>
              <w:rPr>
                <w:rFonts w:ascii="Calibri" w:hAnsi="Calibri"/>
                <w:sz w:val="22"/>
              </w:rPr>
              <w:t>Q2 2026 Adj. Diluted EPS</w:t>
            </w:r>
          </w:p>
        </w:tc>
        <w:tc>
          <w:tcPr>
            <w:tcW w:type="dxa" w:w="1728"/>
          </w:tcPr>
          <w:p>
            <w:r>
              <w:rPr>
                <w:rFonts w:ascii="Calibri" w:hAnsi="Calibri"/>
                <w:sz w:val="22"/>
              </w:rPr>
              <w:t>$1.35–$1.45 ($1.40 mid); +47% YoY</w:t>
            </w:r>
          </w:p>
        </w:tc>
        <w:tc>
          <w:tcPr>
            <w:tcW w:type="dxa" w:w="1728"/>
          </w:tcPr>
          <w:p>
            <w:r>
              <w:rPr>
                <w:rFonts w:ascii="Calibri" w:hAnsi="Calibri"/>
                <w:sz w:val="22"/>
              </w:rPr>
              <w:t>—</w:t>
            </w:r>
          </w:p>
        </w:tc>
        <w:tc>
          <w:tcPr>
            <w:tcW w:type="dxa" w:w="1728"/>
          </w:tcPr>
          <w:p>
            <w:r>
              <w:rPr>
                <w:rFonts w:ascii="Calibri" w:hAnsi="Calibri"/>
                <w:sz w:val="22"/>
              </w:rPr>
              <w:t>$1.44</w:t>
            </w:r>
          </w:p>
        </w:tc>
        <w:tc>
          <w:tcPr>
            <w:tcW w:type="dxa" w:w="1728"/>
          </w:tcPr>
          <w:p>
            <w:r>
              <w:rPr>
                <w:rFonts w:ascii="Calibri" w:hAnsi="Calibri"/>
                <w:sz w:val="22"/>
              </w:rPr>
              <w:t>Unchanged; consensus +2.9% above midpoint</w:t>
            </w:r>
          </w:p>
        </w:tc>
      </w:tr>
      <w:tr>
        <w:tc>
          <w:tcPr>
            <w:tcW w:type="dxa" w:w="1728"/>
          </w:tcPr>
          <w:p>
            <w:r>
              <w:rPr>
                <w:rFonts w:ascii="Calibri" w:hAnsi="Calibri"/>
                <w:sz w:val="22"/>
              </w:rPr>
              <w:t>FY 2026 Net Sales</w:t>
            </w:r>
          </w:p>
        </w:tc>
        <w:tc>
          <w:tcPr>
            <w:tcW w:type="dxa" w:w="1728"/>
          </w:tcPr>
          <w:p>
            <w:r>
              <w:rPr>
                <w:rFonts w:ascii="Calibri" w:hAnsi="Calibri"/>
                <w:sz w:val="22"/>
              </w:rPr>
              <w:t>$13.60B–$13.90B ($13.75B mid); +34% YoY</w:t>
            </w:r>
          </w:p>
        </w:tc>
        <w:tc>
          <w:tcPr>
            <w:tcW w:type="dxa" w:w="1728"/>
          </w:tcPr>
          <w:p>
            <w:r>
              <w:rPr>
                <w:rFonts w:ascii="Calibri" w:hAnsi="Calibri"/>
                <w:sz w:val="22"/>
              </w:rPr>
              <w:t>—</w:t>
            </w:r>
          </w:p>
        </w:tc>
        <w:tc>
          <w:tcPr>
            <w:tcW w:type="dxa" w:w="1728"/>
          </w:tcPr>
          <w:p>
            <w:r>
              <w:rPr>
                <w:rFonts w:ascii="Calibri" w:hAnsi="Calibri"/>
                <w:sz w:val="22"/>
              </w:rPr>
              <w:t>$13.883B</w:t>
            </w:r>
          </w:p>
        </w:tc>
        <w:tc>
          <w:tcPr>
            <w:tcW w:type="dxa" w:w="1728"/>
          </w:tcPr>
          <w:p>
            <w:r>
              <w:rPr>
                <w:rFonts w:ascii="Calibri" w:hAnsi="Calibri"/>
                <w:sz w:val="22"/>
              </w:rPr>
              <w:t>Unchanged at May Investor Conference; consensus +1.0% above midpoint</w:t>
            </w:r>
          </w:p>
        </w:tc>
      </w:tr>
      <w:tr>
        <w:tc>
          <w:tcPr>
            <w:tcW w:type="dxa" w:w="1728"/>
          </w:tcPr>
          <w:p>
            <w:r>
              <w:rPr>
                <w:rFonts w:ascii="Calibri" w:hAnsi="Calibri"/>
                <w:sz w:val="22"/>
              </w:rPr>
              <w:t>FY 2026 Adj. Operating Profit</w:t>
            </w:r>
          </w:p>
        </w:tc>
        <w:tc>
          <w:tcPr>
            <w:tcW w:type="dxa" w:w="1728"/>
          </w:tcPr>
          <w:p>
            <w:r>
              <w:rPr>
                <w:rFonts w:ascii="Calibri" w:hAnsi="Calibri"/>
                <w:sz w:val="22"/>
              </w:rPr>
              <w:t>$3.10B–$3.30B ($3.20B mid); +53% YoY</w:t>
            </w:r>
          </w:p>
        </w:tc>
        <w:tc>
          <w:tcPr>
            <w:tcW w:type="dxa" w:w="1728"/>
          </w:tcPr>
          <w:p>
            <w:r>
              <w:rPr>
                <w:rFonts w:ascii="Calibri" w:hAnsi="Calibri"/>
                <w:sz w:val="22"/>
              </w:rPr>
              <w:t>—</w:t>
            </w:r>
          </w:p>
        </w:tc>
        <w:tc>
          <w:tcPr>
            <w:tcW w:type="dxa" w:w="1728"/>
          </w:tcPr>
          <w:p>
            <w:r>
              <w:rPr>
                <w:rFonts w:ascii="Calibri" w:hAnsi="Calibri"/>
                <w:sz w:val="22"/>
              </w:rPr>
              <w:t>$3.237B</w:t>
            </w:r>
          </w:p>
        </w:tc>
        <w:tc>
          <w:tcPr>
            <w:tcW w:type="dxa" w:w="1728"/>
          </w:tcPr>
          <w:p>
            <w:r>
              <w:rPr>
                <w:rFonts w:ascii="Calibri" w:hAnsi="Calibri"/>
                <w:sz w:val="22"/>
              </w:rPr>
              <w:t>Unchanged; $160M raise vs. prior guidance; consensus +1.2% above midpoint</w:t>
            </w:r>
          </w:p>
        </w:tc>
      </w:tr>
      <w:tr>
        <w:tc>
          <w:tcPr>
            <w:tcW w:type="dxa" w:w="1728"/>
          </w:tcPr>
          <w:p>
            <w:r>
              <w:rPr>
                <w:rFonts w:ascii="Calibri" w:hAnsi="Calibri"/>
                <w:sz w:val="22"/>
              </w:rPr>
              <w:t>FY 2026 Adj. Operating Margin</w:t>
            </w:r>
          </w:p>
        </w:tc>
        <w:tc>
          <w:tcPr>
            <w:tcW w:type="dxa" w:w="1728"/>
          </w:tcPr>
          <w:p>
            <w:r>
              <w:rPr>
                <w:rFonts w:ascii="Calibri" w:hAnsi="Calibri"/>
                <w:sz w:val="22"/>
              </w:rPr>
              <w:t>23.3% midpoint (+290 bps YoY, +80 bps vs. prior guide)</w:t>
            </w:r>
          </w:p>
        </w:tc>
        <w:tc>
          <w:tcPr>
            <w:tcW w:type="dxa" w:w="1728"/>
          </w:tcPr>
          <w:p>
            <w:r>
              <w:rPr>
                <w:rFonts w:ascii="Calibri" w:hAnsi="Calibri"/>
                <w:sz w:val="22"/>
              </w:rPr>
              <w:t>—</w:t>
            </w:r>
          </w:p>
        </w:tc>
        <w:tc>
          <w:tcPr>
            <w:tcW w:type="dxa" w:w="1728"/>
          </w:tcPr>
          <w:p>
            <w:r>
              <w:rPr>
                <w:rFonts w:ascii="Calibri" w:hAnsi="Calibri"/>
                <w:sz w:val="22"/>
              </w:rPr>
              <w:t>23.4%</w:t>
            </w:r>
          </w:p>
        </w:tc>
        <w:tc>
          <w:tcPr>
            <w:tcW w:type="dxa" w:w="1728"/>
          </w:tcPr>
          <w:p>
            <w:r>
              <w:rPr>
                <w:rFonts w:ascii="Calibri" w:hAnsi="Calibri"/>
                <w:sz w:val="22"/>
              </w:rPr>
              <w:t>Unchanged; consensus 10 bps above midpoint</w:t>
            </w:r>
          </w:p>
        </w:tc>
      </w:tr>
      <w:tr>
        <w:tc>
          <w:tcPr>
            <w:tcW w:type="dxa" w:w="1728"/>
          </w:tcPr>
          <w:p>
            <w:r>
              <w:rPr>
                <w:rFonts w:ascii="Calibri" w:hAnsi="Calibri"/>
                <w:sz w:val="22"/>
              </w:rPr>
              <w:t>FY 2026 Adj. Diluted EPS</w:t>
            </w:r>
          </w:p>
        </w:tc>
        <w:tc>
          <w:tcPr>
            <w:tcW w:type="dxa" w:w="1728"/>
          </w:tcPr>
          <w:p>
            <w:r>
              <w:rPr>
                <w:rFonts w:ascii="Calibri" w:hAnsi="Calibri"/>
                <w:sz w:val="22"/>
              </w:rPr>
              <w:t>$6.20–$6.50 ($6.35 mid); +51% YoY; raised $0.33</w:t>
            </w:r>
          </w:p>
        </w:tc>
        <w:tc>
          <w:tcPr>
            <w:tcW w:type="dxa" w:w="1728"/>
          </w:tcPr>
          <w:p>
            <w:r>
              <w:rPr>
                <w:rFonts w:ascii="Calibri" w:hAnsi="Calibri"/>
                <w:sz w:val="22"/>
              </w:rPr>
              <w:t>—</w:t>
            </w:r>
          </w:p>
        </w:tc>
        <w:tc>
          <w:tcPr>
            <w:tcW w:type="dxa" w:w="1728"/>
          </w:tcPr>
          <w:p>
            <w:r>
              <w:rPr>
                <w:rFonts w:ascii="Calibri" w:hAnsi="Calibri"/>
                <w:sz w:val="22"/>
              </w:rPr>
              <w:t>$6.483B</w:t>
            </w:r>
          </w:p>
        </w:tc>
        <w:tc>
          <w:tcPr>
            <w:tcW w:type="dxa" w:w="1728"/>
          </w:tcPr>
          <w:p>
            <w:r>
              <w:rPr>
                <w:rFonts w:ascii="Calibri" w:hAnsi="Calibri"/>
                <w:sz w:val="22"/>
              </w:rPr>
              <w:t>Unchanged at May Investor Conference; consensus +2.1% above midpoint</w:t>
            </w:r>
          </w:p>
        </w:tc>
      </w:tr>
      <w:tr>
        <w:tc>
          <w:tcPr>
            <w:tcW w:type="dxa" w:w="1728"/>
          </w:tcPr>
          <w:p>
            <w:r>
              <w:rPr>
                <w:rFonts w:ascii="Calibri" w:hAnsi="Calibri"/>
                <w:sz w:val="22"/>
              </w:rPr>
              <w:t>FY 2026 Adj. Free Cash Flow</w:t>
            </w:r>
          </w:p>
        </w:tc>
        <w:tc>
          <w:tcPr>
            <w:tcW w:type="dxa" w:w="1728"/>
          </w:tcPr>
          <w:p>
            <w:r>
              <w:rPr>
                <w:rFonts w:ascii="Calibri" w:hAnsi="Calibri"/>
                <w:sz w:val="22"/>
              </w:rPr>
              <w:t>$2.1B–$2.3B ($2.2B mid); +17% YoY</w:t>
            </w:r>
          </w:p>
        </w:tc>
        <w:tc>
          <w:tcPr>
            <w:tcW w:type="dxa" w:w="1728"/>
          </w:tcPr>
          <w:p>
            <w:r>
              <w:rPr>
                <w:rFonts w:ascii="Calibri" w:hAnsi="Calibri"/>
                <w:sz w:val="22"/>
              </w:rPr>
              <w:t>—</w:t>
            </w:r>
          </w:p>
        </w:tc>
        <w:tc>
          <w:tcPr>
            <w:tcW w:type="dxa" w:w="1728"/>
          </w:tcPr>
          <w:p>
            <w:r>
              <w:rPr>
                <w:rFonts w:ascii="Calibri" w:hAnsi="Calibri"/>
                <w:sz w:val="22"/>
              </w:rPr>
              <w:t>$2.270B</w:t>
            </w:r>
          </w:p>
        </w:tc>
        <w:tc>
          <w:tcPr>
            <w:tcW w:type="dxa" w:w="1728"/>
          </w:tcPr>
          <w:p>
            <w:r>
              <w:rPr>
                <w:rFonts w:ascii="Calibri" w:hAnsi="Calibri"/>
                <w:sz w:val="22"/>
              </w:rPr>
              <w:t>Unchanged; consensus +3.2% above midpoint</w:t>
            </w:r>
          </w:p>
        </w:tc>
      </w:tr>
      <w:tr>
        <w:tc>
          <w:tcPr>
            <w:tcW w:type="dxa" w:w="1728"/>
          </w:tcPr>
          <w:p>
            <w:r>
              <w:rPr>
                <w:rFonts w:ascii="Calibri" w:hAnsi="Calibri"/>
                <w:sz w:val="22"/>
              </w:rPr>
              <w:t>FY 2026 Regional Organic Growth</w:t>
            </w:r>
          </w:p>
        </w:tc>
        <w:tc>
          <w:tcPr>
            <w:tcW w:type="dxa" w:w="1728"/>
          </w:tcPr>
          <w:p>
            <w:r>
              <w:rPr>
                <w:rFonts w:ascii="Calibri" w:hAnsi="Calibri"/>
                <w:sz w:val="22"/>
              </w:rPr>
              <w:t>Americas: high 30s%; APAC: mid-20s%; EMEA: flat</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EMEA flat implies H2 recovery after -29% organic Q1</w:t>
            </w:r>
          </w:p>
        </w:tc>
      </w:tr>
      <w:tr>
        <w:tc>
          <w:tcPr>
            <w:tcW w:type="dxa" w:w="1728"/>
          </w:tcPr>
          <w:p>
            <w:r>
              <w:rPr>
                <w:rFonts w:ascii="Calibri" w:hAnsi="Calibri"/>
                <w:sz w:val="22"/>
              </w:rPr>
              <w:t>Incremental Margins (FY 2026)</w:t>
            </w:r>
          </w:p>
        </w:tc>
        <w:tc>
          <w:tcPr>
            <w:tcW w:type="dxa" w:w="1728"/>
          </w:tcPr>
          <w:p>
            <w:r>
              <w:rPr>
                <w:rFonts w:ascii="Calibri" w:hAnsi="Calibri"/>
                <w:sz w:val="22"/>
              </w:rPr>
              <w:t>30%–35% full-year; Q1-to-Q2 dip to low 20s due to capacity ramp</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Q2 is flagged as one of the largest capacity ramp quarters</w:t>
            </w:r>
          </w:p>
        </w:tc>
      </w:tr>
    </w:tbl>
    <w:p>
      <w:r>
        <w:rPr>
          <w:rFonts w:ascii="Calibri" w:hAnsi="Calibri"/>
          <w:i/>
          <w:color w:val="525866"/>
          <w:sz w:val="22"/>
        </w:rPr>
        <w:t>Source: Q1 2026 earnings call transcript (April 22, 2026); May 2026 Investor Conference (May 19–20, 2026); Visible Alpha consensus data. No post-earnings guidance revisions were issued via 8-K or pre-announcement between April 22 and July 28, 2026.</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tracked guidance tightly since the Q1 print with minimal revision activity — the street has essentially anchored to management’s raised guidance rather than independently revising higher or lower. </w:t>
      </w:r>
      <w:r>
        <w:rPr>
          <w:rFonts w:ascii="Calibri" w:hAnsi="Calibri"/>
          <w:b/>
          <w:color w:val="525866"/>
          <w:sz w:val="22"/>
        </w:rPr>
        <w:t>The lack of meaningful upward revision despite a strong Q1 beat suggests the market is waiting for EMEA evidence before re-rating estimates higher.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28, 2026 (Post-Q1 Baseline)</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 Q2 2026</w:t>
            </w:r>
          </w:p>
        </w:tc>
        <w:tc>
          <w:tcPr>
            <w:tcW w:type="dxa" w:w="1080"/>
          </w:tcPr>
          <w:p>
            <w:r>
              <w:rPr>
                <w:rFonts w:ascii="Calibri" w:hAnsi="Calibri"/>
                <w:sz w:val="22"/>
              </w:rPr>
              <w:t>$3.385B</w:t>
            </w:r>
          </w:p>
        </w:tc>
        <w:tc>
          <w:tcPr>
            <w:tcW w:type="dxa" w:w="1080"/>
          </w:tcPr>
          <w:p>
            <w:r>
              <w:rPr>
                <w:rFonts w:ascii="Calibri" w:hAnsi="Calibri"/>
                <w:sz w:val="22"/>
              </w:rPr>
              <w:t>$3.391B</w:t>
            </w:r>
          </w:p>
        </w:tc>
        <w:tc>
          <w:tcPr>
            <w:tcW w:type="dxa" w:w="1080"/>
          </w:tcPr>
          <w:p>
            <w:r>
              <w:rPr>
                <w:rFonts w:ascii="Calibri" w:hAnsi="Calibri"/>
                <w:sz w:val="22"/>
              </w:rPr>
              <w:t>+0.2%</w:t>
            </w:r>
          </w:p>
        </w:tc>
        <w:tc>
          <w:tcPr>
            <w:tcW w:type="dxa" w:w="1080"/>
          </w:tcPr>
          <w:p>
            <w:r>
              <w:rPr>
                <w:rFonts w:ascii="Calibri" w:hAnsi="Calibri"/>
                <w:sz w:val="22"/>
              </w:rPr>
              <w:t>$3.350B mid</w:t>
            </w:r>
          </w:p>
        </w:tc>
        <w:tc>
          <w:tcPr>
            <w:tcW w:type="dxa" w:w="1080"/>
          </w:tcPr>
          <w:p>
            <w:r>
              <w:rPr>
                <w:rFonts w:ascii="Calibri" w:hAnsi="Calibri"/>
                <w:sz w:val="22"/>
              </w:rPr>
              <w:t>$3.350B mid (unchanged)</w:t>
            </w:r>
          </w:p>
        </w:tc>
        <w:tc>
          <w:tcPr>
            <w:tcW w:type="dxa" w:w="1080"/>
          </w:tcPr>
          <w:p>
            <w:r>
              <w:rPr>
                <w:rFonts w:ascii="Calibri" w:hAnsi="Calibri"/>
                <w:sz w:val="22"/>
              </w:rPr>
              <w:t>0%</w:t>
            </w:r>
          </w:p>
        </w:tc>
        <w:tc>
          <w:tcPr>
            <w:tcW w:type="dxa" w:w="1080"/>
          </w:tcPr>
          <w:p>
            <w:r>
              <w:rPr>
                <w:rFonts w:ascii="Calibri" w:hAnsi="Calibri"/>
                <w:sz w:val="22"/>
              </w:rPr>
              <w:t>+1.2%</w:t>
            </w:r>
          </w:p>
        </w:tc>
      </w:tr>
      <w:tr>
        <w:tc>
          <w:tcPr>
            <w:tcW w:type="dxa" w:w="1080"/>
          </w:tcPr>
          <w:p>
            <w:r>
              <w:rPr>
                <w:rFonts w:ascii="Calibri" w:hAnsi="Calibri"/>
                <w:sz w:val="22"/>
              </w:rPr>
              <w:t>Adj. EPS — Q2 2026</w:t>
            </w:r>
          </w:p>
        </w:tc>
        <w:tc>
          <w:tcPr>
            <w:tcW w:type="dxa" w:w="1080"/>
          </w:tcPr>
          <w:p>
            <w:r>
              <w:rPr>
                <w:rFonts w:ascii="Calibri" w:hAnsi="Calibri"/>
                <w:sz w:val="22"/>
              </w:rPr>
              <w:t>$1.435</w:t>
            </w:r>
          </w:p>
        </w:tc>
        <w:tc>
          <w:tcPr>
            <w:tcW w:type="dxa" w:w="1080"/>
          </w:tcPr>
          <w:p>
            <w:r>
              <w:rPr>
                <w:rFonts w:ascii="Calibri" w:hAnsi="Calibri"/>
                <w:sz w:val="22"/>
              </w:rPr>
              <w:t>$1.439</w:t>
            </w:r>
          </w:p>
        </w:tc>
        <w:tc>
          <w:tcPr>
            <w:tcW w:type="dxa" w:w="1080"/>
          </w:tcPr>
          <w:p>
            <w:r>
              <w:rPr>
                <w:rFonts w:ascii="Calibri" w:hAnsi="Calibri"/>
                <w:sz w:val="22"/>
              </w:rPr>
              <w:t>+0.3%</w:t>
            </w:r>
          </w:p>
        </w:tc>
        <w:tc>
          <w:tcPr>
            <w:tcW w:type="dxa" w:w="1080"/>
          </w:tcPr>
          <w:p>
            <w:r>
              <w:rPr>
                <w:rFonts w:ascii="Calibri" w:hAnsi="Calibri"/>
                <w:sz w:val="22"/>
              </w:rPr>
              <w:t>$1.40 mid</w:t>
            </w:r>
          </w:p>
        </w:tc>
        <w:tc>
          <w:tcPr>
            <w:tcW w:type="dxa" w:w="1080"/>
          </w:tcPr>
          <w:p>
            <w:r>
              <w:rPr>
                <w:rFonts w:ascii="Calibri" w:hAnsi="Calibri"/>
                <w:sz w:val="22"/>
              </w:rPr>
              <w:t>$1.40 mid (unchanged)</w:t>
            </w:r>
          </w:p>
        </w:tc>
        <w:tc>
          <w:tcPr>
            <w:tcW w:type="dxa" w:w="1080"/>
          </w:tcPr>
          <w:p>
            <w:r>
              <w:rPr>
                <w:rFonts w:ascii="Calibri" w:hAnsi="Calibri"/>
                <w:sz w:val="22"/>
              </w:rPr>
              <w:t>0%</w:t>
            </w:r>
          </w:p>
        </w:tc>
        <w:tc>
          <w:tcPr>
            <w:tcW w:type="dxa" w:w="1080"/>
          </w:tcPr>
          <w:p>
            <w:r>
              <w:rPr>
                <w:rFonts w:ascii="Calibri" w:hAnsi="Calibri"/>
                <w:sz w:val="22"/>
              </w:rPr>
              <w:t>+2.9%</w:t>
            </w:r>
          </w:p>
        </w:tc>
      </w:tr>
      <w:tr>
        <w:tc>
          <w:tcPr>
            <w:tcW w:type="dxa" w:w="1080"/>
          </w:tcPr>
          <w:p>
            <w:r>
              <w:rPr>
                <w:rFonts w:ascii="Calibri" w:hAnsi="Calibri"/>
                <w:sz w:val="22"/>
              </w:rPr>
              <w:t>Adj. Operating Income — Q2 2026</w:t>
            </w:r>
          </w:p>
        </w:tc>
        <w:tc>
          <w:tcPr>
            <w:tcW w:type="dxa" w:w="1080"/>
          </w:tcPr>
          <w:p>
            <w:r>
              <w:rPr>
                <w:rFonts w:ascii="Calibri" w:hAnsi="Calibri"/>
                <w:sz w:val="22"/>
              </w:rPr>
              <w:t>$726.4M</w:t>
            </w:r>
          </w:p>
        </w:tc>
        <w:tc>
          <w:tcPr>
            <w:tcW w:type="dxa" w:w="1080"/>
          </w:tcPr>
          <w:p>
            <w:r>
              <w:rPr>
                <w:rFonts w:ascii="Calibri" w:hAnsi="Calibri"/>
                <w:sz w:val="22"/>
              </w:rPr>
              <w:t>$728.9M</w:t>
            </w:r>
          </w:p>
        </w:tc>
        <w:tc>
          <w:tcPr>
            <w:tcW w:type="dxa" w:w="1080"/>
          </w:tcPr>
          <w:p>
            <w:r>
              <w:rPr>
                <w:rFonts w:ascii="Calibri" w:hAnsi="Calibri"/>
                <w:sz w:val="22"/>
              </w:rPr>
              <w:t>+0.3%</w:t>
            </w:r>
          </w:p>
        </w:tc>
        <w:tc>
          <w:tcPr>
            <w:tcW w:type="dxa" w:w="1080"/>
          </w:tcPr>
          <w:p>
            <w:r>
              <w:rPr>
                <w:rFonts w:ascii="Calibri" w:hAnsi="Calibri"/>
                <w:sz w:val="22"/>
              </w:rPr>
              <w:t>$710M mid</w:t>
            </w:r>
          </w:p>
        </w:tc>
        <w:tc>
          <w:tcPr>
            <w:tcW w:type="dxa" w:w="1080"/>
          </w:tcPr>
          <w:p>
            <w:r>
              <w:rPr>
                <w:rFonts w:ascii="Calibri" w:hAnsi="Calibri"/>
                <w:sz w:val="22"/>
              </w:rPr>
              <w:t>$710M mid (unchanged)</w:t>
            </w:r>
          </w:p>
        </w:tc>
        <w:tc>
          <w:tcPr>
            <w:tcW w:type="dxa" w:w="1080"/>
          </w:tcPr>
          <w:p>
            <w:r>
              <w:rPr>
                <w:rFonts w:ascii="Calibri" w:hAnsi="Calibri"/>
                <w:sz w:val="22"/>
              </w:rPr>
              <w:t>0%</w:t>
            </w:r>
          </w:p>
        </w:tc>
        <w:tc>
          <w:tcPr>
            <w:tcW w:type="dxa" w:w="1080"/>
          </w:tcPr>
          <w:p>
            <w:r>
              <w:rPr>
                <w:rFonts w:ascii="Calibri" w:hAnsi="Calibri"/>
                <w:sz w:val="22"/>
              </w:rPr>
              <w:t>+2.7%</w:t>
            </w:r>
          </w:p>
        </w:tc>
      </w:tr>
      <w:tr>
        <w:tc>
          <w:tcPr>
            <w:tcW w:type="dxa" w:w="1080"/>
          </w:tcPr>
          <w:p>
            <w:r>
              <w:rPr>
                <w:rFonts w:ascii="Calibri" w:hAnsi="Calibri"/>
                <w:sz w:val="22"/>
              </w:rPr>
              <w:t>Net Sales — FY 2026</w:t>
            </w:r>
          </w:p>
        </w:tc>
        <w:tc>
          <w:tcPr>
            <w:tcW w:type="dxa" w:w="1080"/>
          </w:tcPr>
          <w:p>
            <w:r>
              <w:rPr>
                <w:rFonts w:ascii="Calibri" w:hAnsi="Calibri"/>
                <w:sz w:val="22"/>
              </w:rPr>
              <w:t>$13.883B</w:t>
            </w:r>
          </w:p>
        </w:tc>
        <w:tc>
          <w:tcPr>
            <w:tcW w:type="dxa" w:w="1080"/>
          </w:tcPr>
          <w:p>
            <w:r>
              <w:rPr>
                <w:rFonts w:ascii="Calibri" w:hAnsi="Calibri"/>
                <w:sz w:val="22"/>
              </w:rPr>
              <w:t>$13.887B</w:t>
            </w:r>
          </w:p>
        </w:tc>
        <w:tc>
          <w:tcPr>
            <w:tcW w:type="dxa" w:w="1080"/>
          </w:tcPr>
          <w:p>
            <w:r>
              <w:rPr>
                <w:rFonts w:ascii="Calibri" w:hAnsi="Calibri"/>
                <w:sz w:val="22"/>
              </w:rPr>
              <w:t>+0.0%</w:t>
            </w:r>
          </w:p>
        </w:tc>
        <w:tc>
          <w:tcPr>
            <w:tcW w:type="dxa" w:w="1080"/>
          </w:tcPr>
          <w:p>
            <w:r>
              <w:rPr>
                <w:rFonts w:ascii="Calibri" w:hAnsi="Calibri"/>
                <w:sz w:val="22"/>
              </w:rPr>
              <w:t>$13.75B mid</w:t>
            </w:r>
          </w:p>
        </w:tc>
        <w:tc>
          <w:tcPr>
            <w:tcW w:type="dxa" w:w="1080"/>
          </w:tcPr>
          <w:p>
            <w:r>
              <w:rPr>
                <w:rFonts w:ascii="Calibri" w:hAnsi="Calibri"/>
                <w:sz w:val="22"/>
              </w:rPr>
              <w:t>$13.75B mid (unchanged)</w:t>
            </w:r>
          </w:p>
        </w:tc>
        <w:tc>
          <w:tcPr>
            <w:tcW w:type="dxa" w:w="1080"/>
          </w:tcPr>
          <w:p>
            <w:r>
              <w:rPr>
                <w:rFonts w:ascii="Calibri" w:hAnsi="Calibri"/>
                <w:sz w:val="22"/>
              </w:rPr>
              <w:t>0%</w:t>
            </w:r>
          </w:p>
        </w:tc>
        <w:tc>
          <w:tcPr>
            <w:tcW w:type="dxa" w:w="1080"/>
          </w:tcPr>
          <w:p>
            <w:r>
              <w:rPr>
                <w:rFonts w:ascii="Calibri" w:hAnsi="Calibri"/>
                <w:sz w:val="22"/>
              </w:rPr>
              <w:t>+1.0%</w:t>
            </w:r>
          </w:p>
        </w:tc>
      </w:tr>
      <w:tr>
        <w:tc>
          <w:tcPr>
            <w:tcW w:type="dxa" w:w="1080"/>
          </w:tcPr>
          <w:p>
            <w:r>
              <w:rPr>
                <w:rFonts w:ascii="Calibri" w:hAnsi="Calibri"/>
                <w:sz w:val="22"/>
              </w:rPr>
              <w:t>Adj. EPS — FY 2026</w:t>
            </w:r>
          </w:p>
        </w:tc>
        <w:tc>
          <w:tcPr>
            <w:tcW w:type="dxa" w:w="1080"/>
          </w:tcPr>
          <w:p>
            <w:r>
              <w:rPr>
                <w:rFonts w:ascii="Calibri" w:hAnsi="Calibri"/>
                <w:sz w:val="22"/>
              </w:rPr>
              <w:t>$6.470</w:t>
            </w:r>
          </w:p>
        </w:tc>
        <w:tc>
          <w:tcPr>
            <w:tcW w:type="dxa" w:w="1080"/>
          </w:tcPr>
          <w:p>
            <w:r>
              <w:rPr>
                <w:rFonts w:ascii="Calibri" w:hAnsi="Calibri"/>
                <w:sz w:val="22"/>
              </w:rPr>
              <w:t>$6.483</w:t>
            </w:r>
          </w:p>
        </w:tc>
        <w:tc>
          <w:tcPr>
            <w:tcW w:type="dxa" w:w="1080"/>
          </w:tcPr>
          <w:p>
            <w:r>
              <w:rPr>
                <w:rFonts w:ascii="Calibri" w:hAnsi="Calibri"/>
                <w:sz w:val="22"/>
              </w:rPr>
              <w:t>+0.2%</w:t>
            </w:r>
          </w:p>
        </w:tc>
        <w:tc>
          <w:tcPr>
            <w:tcW w:type="dxa" w:w="1080"/>
          </w:tcPr>
          <w:p>
            <w:r>
              <w:rPr>
                <w:rFonts w:ascii="Calibri" w:hAnsi="Calibri"/>
                <w:sz w:val="22"/>
              </w:rPr>
              <w:t>$6.35 mid</w:t>
            </w:r>
          </w:p>
        </w:tc>
        <w:tc>
          <w:tcPr>
            <w:tcW w:type="dxa" w:w="1080"/>
          </w:tcPr>
          <w:p>
            <w:r>
              <w:rPr>
                <w:rFonts w:ascii="Calibri" w:hAnsi="Calibri"/>
                <w:sz w:val="22"/>
              </w:rPr>
              <w:t>$6.35 mid (unchanged)</w:t>
            </w:r>
          </w:p>
        </w:tc>
        <w:tc>
          <w:tcPr>
            <w:tcW w:type="dxa" w:w="1080"/>
          </w:tcPr>
          <w:p>
            <w:r>
              <w:rPr>
                <w:rFonts w:ascii="Calibri" w:hAnsi="Calibri"/>
                <w:sz w:val="22"/>
              </w:rPr>
              <w:t>0%</w:t>
            </w:r>
          </w:p>
        </w:tc>
        <w:tc>
          <w:tcPr>
            <w:tcW w:type="dxa" w:w="1080"/>
          </w:tcPr>
          <w:p>
            <w:r>
              <w:rPr>
                <w:rFonts w:ascii="Calibri" w:hAnsi="Calibri"/>
                <w:sz w:val="22"/>
              </w:rPr>
              <w:t>+2.1%</w:t>
            </w:r>
          </w:p>
        </w:tc>
      </w:tr>
      <w:tr>
        <w:tc>
          <w:tcPr>
            <w:tcW w:type="dxa" w:w="1080"/>
          </w:tcPr>
          <w:p>
            <w:r>
              <w:rPr>
                <w:rFonts w:ascii="Calibri" w:hAnsi="Calibri"/>
                <w:sz w:val="22"/>
              </w:rPr>
              <w:t>Adj. Operating Income — FY 2026</w:t>
            </w:r>
          </w:p>
        </w:tc>
        <w:tc>
          <w:tcPr>
            <w:tcW w:type="dxa" w:w="1080"/>
          </w:tcPr>
          <w:p>
            <w:r>
              <w:rPr>
                <w:rFonts w:ascii="Calibri" w:hAnsi="Calibri"/>
                <w:sz w:val="22"/>
              </w:rPr>
              <w:t>$3.226B</w:t>
            </w:r>
          </w:p>
        </w:tc>
        <w:tc>
          <w:tcPr>
            <w:tcW w:type="dxa" w:w="1080"/>
          </w:tcPr>
          <w:p>
            <w:r>
              <w:rPr>
                <w:rFonts w:ascii="Calibri" w:hAnsi="Calibri"/>
                <w:sz w:val="22"/>
              </w:rPr>
              <w:t>$3.237B</w:t>
            </w:r>
          </w:p>
        </w:tc>
        <w:tc>
          <w:tcPr>
            <w:tcW w:type="dxa" w:w="1080"/>
          </w:tcPr>
          <w:p>
            <w:r>
              <w:rPr>
                <w:rFonts w:ascii="Calibri" w:hAnsi="Calibri"/>
                <w:sz w:val="22"/>
              </w:rPr>
              <w:t>+0.3%</w:t>
            </w:r>
          </w:p>
        </w:tc>
        <w:tc>
          <w:tcPr>
            <w:tcW w:type="dxa" w:w="1080"/>
          </w:tcPr>
          <w:p>
            <w:r>
              <w:rPr>
                <w:rFonts w:ascii="Calibri" w:hAnsi="Calibri"/>
                <w:sz w:val="22"/>
              </w:rPr>
              <w:t>$3.20B mid</w:t>
            </w:r>
          </w:p>
        </w:tc>
        <w:tc>
          <w:tcPr>
            <w:tcW w:type="dxa" w:w="1080"/>
          </w:tcPr>
          <w:p>
            <w:r>
              <w:rPr>
                <w:rFonts w:ascii="Calibri" w:hAnsi="Calibri"/>
                <w:sz w:val="22"/>
              </w:rPr>
              <w:t>$3.20B mid (unchanged)</w:t>
            </w:r>
          </w:p>
        </w:tc>
        <w:tc>
          <w:tcPr>
            <w:tcW w:type="dxa" w:w="1080"/>
          </w:tcPr>
          <w:p>
            <w:r>
              <w:rPr>
                <w:rFonts w:ascii="Calibri" w:hAnsi="Calibri"/>
                <w:sz w:val="22"/>
              </w:rPr>
              <w:t>0%</w:t>
            </w:r>
          </w:p>
        </w:tc>
        <w:tc>
          <w:tcPr>
            <w:tcW w:type="dxa" w:w="1080"/>
          </w:tcPr>
          <w:p>
            <w:r>
              <w:rPr>
                <w:rFonts w:ascii="Calibri" w:hAnsi="Calibri"/>
                <w:sz w:val="22"/>
              </w:rPr>
              <w:t>+1.2%</w:t>
            </w:r>
          </w:p>
        </w:tc>
      </w:tr>
      <w:tr>
        <w:tc>
          <w:tcPr>
            <w:tcW w:type="dxa" w:w="1080"/>
          </w:tcPr>
          <w:p>
            <w:r>
              <w:rPr>
                <w:rFonts w:ascii="Calibri" w:hAnsi="Calibri"/>
                <w:sz w:val="22"/>
              </w:rPr>
              <w:t>Free Cash Flow — FY 2026</w:t>
            </w:r>
          </w:p>
        </w:tc>
        <w:tc>
          <w:tcPr>
            <w:tcW w:type="dxa" w:w="1080"/>
          </w:tcPr>
          <w:p>
            <w:r>
              <w:rPr>
                <w:rFonts w:ascii="Calibri" w:hAnsi="Calibri"/>
                <w:sz w:val="22"/>
              </w:rPr>
              <w:t>$2.266B</w:t>
            </w:r>
          </w:p>
        </w:tc>
        <w:tc>
          <w:tcPr>
            <w:tcW w:type="dxa" w:w="1080"/>
          </w:tcPr>
          <w:p>
            <w:r>
              <w:rPr>
                <w:rFonts w:ascii="Calibri" w:hAnsi="Calibri"/>
                <w:sz w:val="22"/>
              </w:rPr>
              <w:t>$2.270B</w:t>
            </w:r>
          </w:p>
        </w:tc>
        <w:tc>
          <w:tcPr>
            <w:tcW w:type="dxa" w:w="1080"/>
          </w:tcPr>
          <w:p>
            <w:r>
              <w:rPr>
                <w:rFonts w:ascii="Calibri" w:hAnsi="Calibri"/>
                <w:sz w:val="22"/>
              </w:rPr>
              <w:t>+0.2%</w:t>
            </w:r>
          </w:p>
        </w:tc>
        <w:tc>
          <w:tcPr>
            <w:tcW w:type="dxa" w:w="1080"/>
          </w:tcPr>
          <w:p>
            <w:r>
              <w:rPr>
                <w:rFonts w:ascii="Calibri" w:hAnsi="Calibri"/>
                <w:sz w:val="22"/>
              </w:rPr>
              <w:t>$2.20B mid</w:t>
            </w:r>
          </w:p>
        </w:tc>
        <w:tc>
          <w:tcPr>
            <w:tcW w:type="dxa" w:w="1080"/>
          </w:tcPr>
          <w:p>
            <w:r>
              <w:rPr>
                <w:rFonts w:ascii="Calibri" w:hAnsi="Calibri"/>
                <w:sz w:val="22"/>
              </w:rPr>
              <w:t>$2.20B mid (unchanged)</w:t>
            </w:r>
          </w:p>
        </w:tc>
        <w:tc>
          <w:tcPr>
            <w:tcW w:type="dxa" w:w="1080"/>
          </w:tcPr>
          <w:p>
            <w:r>
              <w:rPr>
                <w:rFonts w:ascii="Calibri" w:hAnsi="Calibri"/>
                <w:sz w:val="22"/>
              </w:rPr>
              <w:t>0%</w:t>
            </w:r>
          </w:p>
        </w:tc>
        <w:tc>
          <w:tcPr>
            <w:tcW w:type="dxa" w:w="1080"/>
          </w:tcPr>
          <w:p>
            <w:r>
              <w:rPr>
                <w:rFonts w:ascii="Calibri" w:hAnsi="Calibri"/>
                <w:sz w:val="22"/>
              </w:rPr>
              <w:t>+3.2%</w:t>
            </w:r>
          </w:p>
        </w:tc>
      </w:tr>
      <w:tr>
        <w:tc>
          <w:tcPr>
            <w:tcW w:type="dxa" w:w="1080"/>
          </w:tcPr>
          <w:p>
            <w:r>
              <w:rPr>
                <w:rFonts w:ascii="Calibri" w:hAnsi="Calibri"/>
                <w:sz w:val="22"/>
              </w:rPr>
              <w:t>Net Sales — FY 2027</w:t>
            </w:r>
          </w:p>
        </w:tc>
        <w:tc>
          <w:tcPr>
            <w:tcW w:type="dxa" w:w="1080"/>
          </w:tcPr>
          <w:p>
            <w:r>
              <w:rPr>
                <w:rFonts w:ascii="Calibri" w:hAnsi="Calibri"/>
                <w:sz w:val="22"/>
              </w:rPr>
              <w:t>$17.446B</w:t>
            </w:r>
          </w:p>
        </w:tc>
        <w:tc>
          <w:tcPr>
            <w:tcW w:type="dxa" w:w="1080"/>
          </w:tcPr>
          <w:p>
            <w:r>
              <w:rPr>
                <w:rFonts w:ascii="Calibri" w:hAnsi="Calibri"/>
                <w:sz w:val="22"/>
              </w:rPr>
              <w:t>$17.745B</w:t>
            </w:r>
          </w:p>
        </w:tc>
        <w:tc>
          <w:tcPr>
            <w:tcW w:type="dxa" w:w="1080"/>
          </w:tcPr>
          <w:p>
            <w:r>
              <w:rPr>
                <w:rFonts w:ascii="Calibri" w:hAnsi="Calibri"/>
                <w:sz w:val="22"/>
              </w:rPr>
              <w:t>+1.7%</w:t>
            </w:r>
          </w:p>
        </w:tc>
        <w:tc>
          <w:tcPr>
            <w:tcW w:type="dxa" w:w="1080"/>
          </w:tcPr>
          <w:p>
            <w:r>
              <w:rPr>
                <w:rFonts w:ascii="Calibri" w:hAnsi="Calibri"/>
                <w:sz w:val="22"/>
              </w:rPr>
              <w:t>N/A (no FY27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2027</w:t>
            </w:r>
          </w:p>
        </w:tc>
        <w:tc>
          <w:tcPr>
            <w:tcW w:type="dxa" w:w="1080"/>
          </w:tcPr>
          <w:p>
            <w:r>
              <w:rPr>
                <w:rFonts w:ascii="Calibri" w:hAnsi="Calibri"/>
                <w:sz w:val="22"/>
              </w:rPr>
              <w:t>$8.554</w:t>
            </w:r>
          </w:p>
        </w:tc>
        <w:tc>
          <w:tcPr>
            <w:tcW w:type="dxa" w:w="1080"/>
          </w:tcPr>
          <w:p>
            <w:r>
              <w:rPr>
                <w:rFonts w:ascii="Calibri" w:hAnsi="Calibri"/>
                <w:sz w:val="22"/>
              </w:rPr>
              <w:t>$8.744</w:t>
            </w:r>
          </w:p>
        </w:tc>
        <w:tc>
          <w:tcPr>
            <w:tcW w:type="dxa" w:w="1080"/>
          </w:tcPr>
          <w:p>
            <w:r>
              <w:rPr>
                <w:rFonts w:ascii="Calibri" w:hAnsi="Calibri"/>
                <w:sz w:val="22"/>
              </w:rPr>
              <w:t>+2.2%</w:t>
            </w:r>
          </w:p>
        </w:tc>
        <w:tc>
          <w:tcPr>
            <w:tcW w:type="dxa" w:w="1080"/>
          </w:tcPr>
          <w:p>
            <w:r>
              <w:rPr>
                <w:rFonts w:ascii="Calibri" w:hAnsi="Calibri"/>
                <w:sz w:val="22"/>
              </w:rPr>
              <w:t>N/A (no FY27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Source: Visible Alpha consensus data; as-of April 28, 2026 (5 trading days post-Q1 earnings) used as post-print baseline. FY 2027 estimates have drifted modestly higher (+1.7% revenue, +2.2% EPS) since the Q1 print, suggesting the street is incrementally more constructive on the multi-year growth trajectory following the Investor Conference long-term targets (20–22% revenue CAGR, 27% adj. operating margin target).</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VRT has underperformed sharply since Q1 earnings (-11.7% vs. XLI +6.7%, SPY +4.2%), driven almost entirely by multiple compression rather than estimate cuts — the Investor Conference selloff on May 19–20 was the single largest drawdown event, suggesting the market is demanding near-term execution proof (particularly EMEA) before re-rating the stock.</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VRT vs. XLI (Industrials ETF) vs. S&amp;P 500 (SPY) — Indexed to 100 at Q1 2026 Earnings (April 22, 2026). Source: Yahoo Finance / Stock Price Data.</w:t>
      </w:r>
    </w:p>
    <w:p>
      <w:r>
        <w:rPr>
          <w:rFonts w:ascii="Calibri" w:hAnsi="Calibri"/>
          <w:color w:val="525866"/>
          <w:sz w:val="22"/>
        </w:rPr>
        <w:t>Key events since Q1 2026 earnings (April 22, 2026):</w:t>
      </w:r>
    </w:p>
    <w:p>
      <w:pPr>
        <w:pStyle w:val="ListBullet"/>
        <w:ind w:left="360" w:hanging="360"/>
      </w:pPr>
      <w:r>
        <w:rPr>
          <w:rFonts w:ascii="Calibri" w:hAnsi="Calibri"/>
          <w:b/>
          <w:color w:val="525866"/>
          <w:sz w:val="22"/>
        </w:rPr>
        <w:t xml:space="preserve">April 22, 2026 (Earnings Day): </w:t>
      </w:r>
      <w:r>
        <w:rPr>
          <w:rFonts w:ascii="Calibri" w:hAnsi="Calibri"/>
          <w:color w:val="525866"/>
          <w:sz w:val="22"/>
        </w:rPr>
        <w:t>Stock opened higher on the Q1 beat but closed down as Q2 guidance disappointed vs. elevated expectations. VRT fell from $305 to ~$305 (flat on the day) before selling off to ~$305 the following session.</w:t>
      </w:r>
    </w:p>
    <w:p>
      <w:pPr>
        <w:pStyle w:val="ListBullet"/>
        <w:ind w:left="360" w:hanging="360"/>
      </w:pPr>
      <w:r>
        <w:rPr>
          <w:rFonts w:ascii="Calibri" w:hAnsi="Calibri"/>
          <w:b/>
          <w:color w:val="525866"/>
          <w:sz w:val="22"/>
        </w:rPr>
        <w:t xml:space="preserve">April 23–30, 2026: </w:t>
      </w:r>
      <w:r>
        <w:rPr>
          <w:rFonts w:ascii="Calibri" w:hAnsi="Calibri"/>
          <w:color w:val="525866"/>
          <w:sz w:val="22"/>
        </w:rPr>
        <w:t>Stock recovered sharply to ~$328–$330 range as investors digested the full-year guidance raise and strong pipeline commentary.</w:t>
      </w:r>
    </w:p>
    <w:p>
      <w:pPr>
        <w:pStyle w:val="ListBullet"/>
        <w:ind w:left="360" w:hanging="360"/>
      </w:pPr>
      <w:r>
        <w:rPr>
          <w:rFonts w:ascii="Calibri" w:hAnsi="Calibri"/>
          <w:b/>
          <w:color w:val="525866"/>
          <w:sz w:val="22"/>
        </w:rPr>
        <w:t xml:space="preserve">May 5–14, 2026 (Peak): </w:t>
      </w:r>
      <w:r>
        <w:rPr>
          <w:rFonts w:ascii="Calibri" w:hAnsi="Calibri"/>
          <w:color w:val="525866"/>
          <w:sz w:val="22"/>
        </w:rPr>
        <w:t>VRT rallied to a post-earnings high of ~$376 on May 14, driven by broad AI infrastructure enthusiasm and strong peer data points (DELL, NVDA GTC Taipei).</w:t>
      </w:r>
    </w:p>
    <w:p>
      <w:pPr>
        <w:pStyle w:val="ListBullet"/>
        <w:ind w:left="360" w:hanging="360"/>
      </w:pPr>
      <w:r>
        <w:rPr>
          <w:rFonts w:ascii="Calibri" w:hAnsi="Calibri"/>
          <w:b/>
          <w:color w:val="525866"/>
          <w:sz w:val="22"/>
        </w:rPr>
        <w:t xml:space="preserve">May 19–20, 2026 (Investor Conference Selloff): </w:t>
      </w:r>
      <w:r>
        <w:rPr>
          <w:rFonts w:ascii="Calibri" w:hAnsi="Calibri"/>
          <w:color w:val="525866"/>
          <w:sz w:val="22"/>
        </w:rPr>
        <w:t>Stock fell sharply from ~$370 to ~$316 (-15%) over two sessions despite constructive long-term targets (20–22% revenue CAGR, 27% margin target, $75B TAM). Market appeared to sell the news on elevated expectations.</w:t>
      </w:r>
    </w:p>
    <w:p>
      <w:pPr>
        <w:pStyle w:val="ListBullet"/>
        <w:ind w:left="360" w:hanging="360"/>
      </w:pPr>
      <w:r>
        <w:rPr>
          <w:rFonts w:ascii="Calibri" w:hAnsi="Calibri"/>
          <w:b/>
          <w:color w:val="525866"/>
          <w:sz w:val="22"/>
        </w:rPr>
        <w:t xml:space="preserve">June 5–10, 2026 (Second Leg Down): </w:t>
      </w:r>
      <w:r>
        <w:rPr>
          <w:rFonts w:ascii="Calibri" w:hAnsi="Calibri"/>
          <w:color w:val="525866"/>
          <w:sz w:val="22"/>
        </w:rPr>
        <w:t>VRT fell from ~$323 to ~$281, coinciding with broader market weakness and sector rotation. Stock touched a post-earnings low near $281.</w:t>
      </w:r>
    </w:p>
    <w:p>
      <w:pPr>
        <w:pStyle w:val="ListBullet"/>
        <w:ind w:left="360" w:hanging="360"/>
      </w:pPr>
      <w:r>
        <w:rPr>
          <w:rFonts w:ascii="Calibri" w:hAnsi="Calibri"/>
          <w:b/>
          <w:color w:val="525866"/>
          <w:sz w:val="22"/>
        </w:rPr>
        <w:t xml:space="preserve">June 12, 2026: </w:t>
      </w:r>
      <w:r>
        <w:rPr>
          <w:rFonts w:ascii="Calibri" w:hAnsi="Calibri"/>
          <w:color w:val="525866"/>
          <w:sz w:val="22"/>
        </w:rPr>
        <w:t>ThermoKey acquisition closed (8-K filed). Stock began recovering.</w:t>
      </w:r>
    </w:p>
    <w:p>
      <w:pPr>
        <w:pStyle w:val="ListBullet"/>
        <w:ind w:left="360" w:hanging="360"/>
      </w:pPr>
      <w:r>
        <w:rPr>
          <w:rFonts w:ascii="Calibri" w:hAnsi="Calibri"/>
          <w:b/>
          <w:color w:val="525866"/>
          <w:sz w:val="22"/>
        </w:rPr>
        <w:t xml:space="preserve">June 18–22, 2026 (Recovery): </w:t>
      </w:r>
      <w:r>
        <w:rPr>
          <w:rFonts w:ascii="Calibri" w:hAnsi="Calibri"/>
          <w:color w:val="525866"/>
          <w:sz w:val="22"/>
        </w:rPr>
        <w:t>VRT rallied from ~$297 to ~$358 on no specific catalyst — likely short covering and AI infrastructure re-rating.</w:t>
      </w:r>
    </w:p>
    <w:p>
      <w:pPr>
        <w:pStyle w:val="ListBullet"/>
        <w:ind w:left="360" w:hanging="360"/>
      </w:pPr>
      <w:r>
        <w:rPr>
          <w:rFonts w:ascii="Calibri" w:hAnsi="Calibri"/>
          <w:b/>
          <w:color w:val="525866"/>
          <w:sz w:val="22"/>
        </w:rPr>
        <w:t xml:space="preserve">Late June – July 2026 (Renewed Weakness): </w:t>
      </w:r>
      <w:r>
        <w:rPr>
          <w:rFonts w:ascii="Calibri" w:hAnsi="Calibri"/>
          <w:color w:val="525866"/>
          <w:sz w:val="22"/>
        </w:rPr>
        <w:t>Stock has drifted lower from ~$358 to ~$270 as of July 29, 2026, underperforming XLI and SPY materially. The de-rating appears valuation-driven as the market awaits Q2 EMEA evidence.</w:t>
      </w:r>
    </w:p>
    <w:p>
      <w:r>
        <w:rPr>
          <w:rFonts w:ascii="Calibri" w:hAnsi="Calibri"/>
          <w:b/>
          <w:color w:val="525866"/>
          <w:sz w:val="22"/>
        </w:rPr>
        <w:t xml:space="preserve">Sector ETF: </w:t>
      </w:r>
      <w:r>
        <w:rPr>
          <w:rFonts w:ascii="Calibri" w:hAnsi="Calibri"/>
          <w:color w:val="525866"/>
          <w:sz w:val="22"/>
        </w:rPr>
        <w:t>XLI (Industrials Select Sector SPDR ETF) was used as the sector benchmark. VRT is classified in the Industrials sector and XLI captures its closest listed peer group including GEV, HUBB, and other electrical/industrial infrastructure names. Source: Yahoo Finance / Stock Price Data.</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May 2026 Investor Conference, where management raised long-term targets significantly but the stock sold off sharply — signaling the market wants near-term EMEA execution, not longer-dated promises. Two bolt-on acquisitions (Strategic Thermal Labs, ThermoKey) closed cleanly and reinforce the thermal management TAM expansion thesis.</w:t>
      </w:r>
    </w:p>
    <w:p>
      <w:pPr>
        <w:pStyle w:val="ListBullet"/>
        <w:ind w:left="360" w:hanging="360"/>
      </w:pPr>
      <w:r>
        <w:rPr>
          <w:rFonts w:ascii="Calibri" w:hAnsi="Calibri"/>
          <w:b/>
          <w:color w:val="525866"/>
          <w:sz w:val="22"/>
        </w:rPr>
        <w:t xml:space="preserve">May 19–20, 2026 — Vertiv Investor Conference (Greenville, SC): </w:t>
      </w:r>
      <w:r>
        <w:rPr>
          <w:rFonts w:ascii="Calibri" w:hAnsi="Calibri"/>
          <w:color w:val="525866"/>
          <w:sz w:val="22"/>
        </w:rPr>
        <w:t xml:space="preserve">Management raised the 5-year revenue CAGR target to 20–22% (from low-to-mid teens), raised the long-term adj. operating margin target to 27% (from 25%), and expanded the TAM framework to ~$75B (from ~$62B). Six leadership changes highlighted including new CFO (Craig Chamberlin) and new CPTO (Scott Armul). 2026 guidance left unchanged. </w:t>
      </w:r>
      <w:r>
        <w:rPr>
          <w:rFonts w:ascii="Calibri" w:hAnsi="Calibri"/>
          <w:b/>
          <w:color w:val="525866"/>
          <w:sz w:val="22"/>
        </w:rPr>
        <w:t xml:space="preserve">Implication: </w:t>
      </w:r>
      <w:r>
        <w:rPr>
          <w:rFonts w:ascii="Calibri" w:hAnsi="Calibri"/>
          <w:color w:val="525866"/>
          <w:sz w:val="22"/>
        </w:rPr>
        <w:t>Despite constructive long-term messaging, the stock fell ~15% over the two conference days on elevated expectations and no near-term guidance raise — the market is demanding Q2 EMEA proof before re-rating.</w:t>
      </w:r>
    </w:p>
    <w:p>
      <w:pPr>
        <w:pStyle w:val="ListBullet"/>
        <w:ind w:left="360" w:hanging="360"/>
      </w:pPr>
      <w:r>
        <w:rPr>
          <w:rFonts w:ascii="Calibri" w:hAnsi="Calibri"/>
          <w:b/>
          <w:color w:val="525866"/>
          <w:sz w:val="22"/>
        </w:rPr>
        <w:t xml:space="preserve">April 27, 2026 — Strategic Thermal Labs Acquisition Closed (8-K): </w:t>
      </w:r>
      <w:r>
        <w:rPr>
          <w:rFonts w:ascii="Calibri" w:hAnsi="Calibri"/>
          <w:color w:val="525866"/>
          <w:sz w:val="22"/>
        </w:rPr>
        <w:t xml:space="preserve">Vertiv completed the acquisition of Strategic Thermal Labs, expanding its thermal management capabilities. </w:t>
      </w:r>
      <w:r>
        <w:rPr>
          <w:rFonts w:ascii="Calibri" w:hAnsi="Calibri"/>
          <w:b/>
          <w:color w:val="525866"/>
          <w:sz w:val="22"/>
        </w:rPr>
        <w:t xml:space="preserve">Implication: </w:t>
      </w:r>
      <w:r>
        <w:rPr>
          <w:rFonts w:ascii="Calibri" w:hAnsi="Calibri"/>
          <w:color w:val="525866"/>
          <w:sz w:val="22"/>
        </w:rPr>
        <w:t>Bolt-on consistent with the thermal TAM expansion strategy; no material financial impact disclosed.</w:t>
      </w:r>
    </w:p>
    <w:p>
      <w:pPr>
        <w:pStyle w:val="ListBullet"/>
        <w:ind w:left="360" w:hanging="360"/>
      </w:pPr>
      <w:r>
        <w:rPr>
          <w:rFonts w:ascii="Calibri" w:hAnsi="Calibri"/>
          <w:b/>
          <w:color w:val="525866"/>
          <w:sz w:val="22"/>
        </w:rPr>
        <w:t xml:space="preserve">June 12, 2026 — ThermoKey S.p.A. Acquisition Closed (8-K): </w:t>
      </w:r>
      <w:r>
        <w:rPr>
          <w:rFonts w:ascii="Calibri" w:hAnsi="Calibri"/>
          <w:color w:val="525866"/>
          <w:sz w:val="22"/>
        </w:rPr>
        <w:t xml:space="preserve">Vertiv completed the acquisition of ThermoKey, an Italian manufacturer of dry coolers and heat exchange equipment with EMEA manufacturing presence. Originally announced in Q1 2026. </w:t>
      </w:r>
      <w:r>
        <w:rPr>
          <w:rFonts w:ascii="Calibri" w:hAnsi="Calibri"/>
          <w:b/>
          <w:color w:val="525866"/>
          <w:sz w:val="22"/>
        </w:rPr>
        <w:t xml:space="preserve">Implication: </w:t>
      </w:r>
      <w:r>
        <w:rPr>
          <w:rFonts w:ascii="Calibri" w:hAnsi="Calibri"/>
          <w:color w:val="525866"/>
          <w:sz w:val="22"/>
        </w:rPr>
        <w:t>Strengthens Vertiv’s heat rejection portfolio and EMEA manufacturing footprint — strategically timed ahead of the expected EMEA recovery in H2 2026.</w:t>
      </w:r>
    </w:p>
    <w:p>
      <w:pPr>
        <w:pStyle w:val="ListBullet"/>
        <w:ind w:left="360" w:hanging="360"/>
      </w:pPr>
      <w:r>
        <w:rPr>
          <w:rFonts w:ascii="Calibri" w:hAnsi="Calibri"/>
          <w:b/>
          <w:color w:val="525866"/>
          <w:sz w:val="22"/>
        </w:rPr>
        <w:t xml:space="preserve">June 18, 2026 — Annual Shareholder Meeting (8-K): </w:t>
      </w:r>
      <w:r>
        <w:rPr>
          <w:rFonts w:ascii="Calibri" w:hAnsi="Calibri"/>
          <w:color w:val="525866"/>
          <w:sz w:val="22"/>
        </w:rPr>
        <w:t>Shareholders elected directors, approved executive compensation, and ratified the auditor. Routine governance event; no material business updates.</w:t>
      </w:r>
    </w:p>
    <w:p>
      <w:pPr>
        <w:pStyle w:val="ListBullet"/>
        <w:ind w:left="360" w:hanging="360"/>
      </w:pPr>
      <w:r>
        <w:rPr>
          <w:rFonts w:ascii="Calibri" w:hAnsi="Calibri"/>
          <w:b/>
          <w:color w:val="525866"/>
          <w:sz w:val="22"/>
        </w:rPr>
        <w:t xml:space="preserve">July 15, 2026 — Q2 2026 Earnings Date Announced: </w:t>
      </w:r>
      <w:r>
        <w:rPr>
          <w:rFonts w:ascii="Calibri" w:hAnsi="Calibri"/>
          <w:color w:val="525866"/>
          <w:sz w:val="22"/>
        </w:rPr>
        <w:t>Vertiv confirmed July 29, 2026 as the Q2 2026 earnings release and conference call date. No pre-announcement or guidance update issued alongside.</w:t>
      </w:r>
    </w:p>
    <w:p>
      <w:pPr>
        <w:pStyle w:val="ListBullet"/>
        <w:ind w:left="360" w:hanging="360"/>
      </w:pPr>
      <w:r>
        <w:rPr>
          <w:rFonts w:ascii="Calibri" w:hAnsi="Calibri"/>
          <w:b/>
          <w:color w:val="525866"/>
          <w:sz w:val="22"/>
        </w:rPr>
        <w:t xml:space="preserve">May 31 – June 2, 2026 — NVIDIA GTC Taipei (Keynote + Analyst Q&amp;A): </w:t>
      </w:r>
      <w:r>
        <w:rPr>
          <w:rFonts w:ascii="Calibri" w:hAnsi="Calibri"/>
          <w:color w:val="525866"/>
          <w:sz w:val="22"/>
        </w:rPr>
        <w:t xml:space="preserve">Jensen Huang confirmed Vera Rubin is "in full production" with supply chain twice the size of Grace Blackwell. Described AI factory CapEx escalating to $80–$100B per gigawatt. Confirmed 100GW of AI factories expected online before end of decade. </w:t>
      </w:r>
      <w:r>
        <w:rPr>
          <w:rFonts w:ascii="Calibri" w:hAnsi="Calibri"/>
          <w:b/>
          <w:color w:val="525866"/>
          <w:sz w:val="22"/>
        </w:rPr>
        <w:t xml:space="preserve">Implication: </w:t>
      </w:r>
      <w:r>
        <w:rPr>
          <w:rFonts w:ascii="Calibri" w:hAnsi="Calibri"/>
          <w:color w:val="525866"/>
          <w:sz w:val="22"/>
        </w:rPr>
        <w:t>Directly positive for VRT — higher CapEx per gigawatt and accelerating Vera Rubin ramp drive more power and cooling content per data center.</w:t>
      </w:r>
    </w:p>
    <w:p>
      <w:pPr>
        <w:pStyle w:val="ListBullet"/>
        <w:ind w:left="360" w:hanging="360"/>
      </w:pPr>
      <w:r>
        <w:rPr>
          <w:rFonts w:ascii="Calibri" w:hAnsi="Calibri"/>
          <w:b/>
          <w:color w:val="525866"/>
          <w:sz w:val="22"/>
        </w:rPr>
        <w:t xml:space="preserve">May 28, 2026 — Dell Technologies Q1 FY2027 Earnings: </w:t>
      </w:r>
      <w:r>
        <w:rPr>
          <w:rFonts w:ascii="Calibri" w:hAnsi="Calibri"/>
          <w:color w:val="525866"/>
          <w:sz w:val="22"/>
        </w:rPr>
        <w:t xml:space="preserve">Dell booked $24.4B in AI orders in Q1, exited with a record $51.3B AI backlog, and raised full-year AI server guidance to $60B (2.4x YoY). Demand described as "stronger than anticipated" across all geographies. </w:t>
      </w:r>
      <w:r>
        <w:rPr>
          <w:rFonts w:ascii="Calibri" w:hAnsi="Calibri"/>
          <w:b/>
          <w:color w:val="525866"/>
          <w:sz w:val="22"/>
        </w:rPr>
        <w:t xml:space="preserve">Implication: </w:t>
      </w:r>
      <w:r>
        <w:rPr>
          <w:rFonts w:ascii="Calibri" w:hAnsi="Calibri"/>
          <w:color w:val="525866"/>
          <w:sz w:val="22"/>
        </w:rPr>
        <w:t>Strong positive read-through for VRT — Dell’s AI server demand directly drives power and cooling infrastructure orders.</w:t>
      </w:r>
    </w:p>
    <w:p>
      <w:pPr>
        <w:pStyle w:val="ListBullet"/>
        <w:ind w:left="360" w:hanging="360"/>
      </w:pPr>
      <w:r>
        <w:rPr>
          <w:rFonts w:ascii="Calibri" w:hAnsi="Calibri"/>
          <w:b/>
          <w:color w:val="525866"/>
          <w:sz w:val="22"/>
        </w:rPr>
        <w:t xml:space="preserve">July 22, 2026 — GE Vernova Q2 2026 Earnings: </w:t>
      </w:r>
      <w:r>
        <w:rPr>
          <w:rFonts w:ascii="Calibri" w:hAnsi="Calibri"/>
          <w:color w:val="525866"/>
          <w:sz w:val="22"/>
        </w:rPr>
        <w:t xml:space="preserve">GEV booked $2.7B of data center orders in electrification in Q2 alone, bringing H1 2026 data center orders to over $5B (more than double full-year 2025). Equipment backlog rose to $41B (+69% YoY). </w:t>
      </w:r>
      <w:r>
        <w:rPr>
          <w:rFonts w:ascii="Calibri" w:hAnsi="Calibri"/>
          <w:b/>
          <w:color w:val="525866"/>
          <w:sz w:val="22"/>
        </w:rPr>
        <w:t xml:space="preserve">Implication: </w:t>
      </w:r>
      <w:r>
        <w:rPr>
          <w:rFonts w:ascii="Calibri" w:hAnsi="Calibri"/>
          <w:color w:val="525866"/>
          <w:sz w:val="22"/>
        </w:rPr>
        <w:t>Confirms the data center power infrastructure supercycle is accelerating into Q2 2026 — directly supportive of VRT’s demand narrative.</w:t>
      </w:r>
    </w:p>
    <w:p>
      <w:pPr>
        <w:pStyle w:val="ListBullet"/>
        <w:ind w:left="360" w:hanging="360"/>
      </w:pPr>
      <w:r>
        <w:rPr>
          <w:rFonts w:ascii="Calibri" w:hAnsi="Calibri"/>
          <w:b/>
          <w:color w:val="525866"/>
          <w:sz w:val="22"/>
        </w:rPr>
        <w:t xml:space="preserve">July 22, 2026 — Alphabet/Google Q2 2026 Earnings: </w:t>
      </w:r>
      <w:r>
        <w:rPr>
          <w:rFonts w:ascii="Calibri" w:hAnsi="Calibri"/>
          <w:color w:val="525866"/>
          <w:sz w:val="22"/>
        </w:rPr>
        <w:t xml:space="preserve">Google raised full-year 2026 CapEx guidance to $195–$205B (from $180–$190B), with 40% of technical infrastructure spend directed to data centers and networking. Described as "supply constrained" with plans to expand third-party capacity in Q3. </w:t>
      </w:r>
      <w:r>
        <w:rPr>
          <w:rFonts w:ascii="Calibri" w:hAnsi="Calibri"/>
          <w:b/>
          <w:color w:val="525866"/>
          <w:sz w:val="22"/>
        </w:rPr>
        <w:t xml:space="preserve">Implication: </w:t>
      </w:r>
      <w:r>
        <w:rPr>
          <w:rFonts w:ascii="Calibri" w:hAnsi="Calibri"/>
          <w:color w:val="525866"/>
          <w:sz w:val="22"/>
        </w:rPr>
        <w:t>Hyperscaler CapEx acceleration is the most direct demand driver for VRT — Google’s $10B+ guidance raise is a strong positive signal heading into VRT’s Q2 print.</w:t>
      </w:r>
    </w:p>
    <w:p>
      <w:pPr>
        <w:pStyle w:val="ListBullet"/>
        <w:ind w:left="360" w:hanging="360"/>
      </w:pPr>
      <w:r>
        <w:rPr>
          <w:rFonts w:ascii="Calibri" w:hAnsi="Calibri"/>
          <w:b/>
          <w:color w:val="525866"/>
          <w:sz w:val="22"/>
        </w:rPr>
        <w:t xml:space="preserve">July 28, 2026 — Carrier Global Q2 2026 Earnings: </w:t>
      </w:r>
      <w:r>
        <w:rPr>
          <w:rFonts w:ascii="Calibri" w:hAnsi="Calibri"/>
          <w:color w:val="525866"/>
          <w:sz w:val="22"/>
        </w:rPr>
        <w:t xml:space="preserve">Carrier raised its full-year data center sales outlook to ~$2B (from $1.5B prior), with data center orders up 4x YoY and commercial HVAC orders up 65%. Backlog over $8B, up 40% YoY. </w:t>
      </w:r>
      <w:r>
        <w:rPr>
          <w:rFonts w:ascii="Calibri" w:hAnsi="Calibri"/>
          <w:b/>
          <w:color w:val="525866"/>
          <w:sz w:val="22"/>
        </w:rPr>
        <w:t xml:space="preserve">Implication: </w:t>
      </w:r>
      <w:r>
        <w:rPr>
          <w:rFonts w:ascii="Calibri" w:hAnsi="Calibri"/>
          <w:color w:val="525866"/>
          <w:sz w:val="22"/>
        </w:rPr>
        <w:t>Same-day peer print directly confirms data center cooling demand is accelerating in Q2 2026 — highly positive read-through for VRT’s thermal management segment.</w:t>
      </w:r>
    </w:p>
    <w:p>
      <w:pPr>
        <w:pStyle w:val="ListBullet"/>
        <w:ind w:left="360" w:hanging="360"/>
      </w:pPr>
      <w:r>
        <w:rPr>
          <w:rFonts w:ascii="Calibri" w:hAnsi="Calibri"/>
          <w:b/>
          <w:color w:val="525866"/>
          <w:sz w:val="22"/>
        </w:rPr>
        <w:t xml:space="preserve">June 10, 2026 — Oracle Q4 FY2026 Earnings: </w:t>
      </w:r>
      <w:r>
        <w:rPr>
          <w:rFonts w:ascii="Calibri" w:hAnsi="Calibri"/>
          <w:color w:val="525866"/>
          <w:sz w:val="22"/>
        </w:rPr>
        <w:t xml:space="preserve">Oracle signed $67B in AI infrastructure contracts in Q4, with RPO reaching $638B (+363% YoY). FY2027 CapEx guided to ~$70B net cash outlay. Cloud infrastructure revenue grew 93%. </w:t>
      </w:r>
      <w:r>
        <w:rPr>
          <w:rFonts w:ascii="Calibri" w:hAnsi="Calibri"/>
          <w:b/>
          <w:color w:val="525866"/>
          <w:sz w:val="22"/>
        </w:rPr>
        <w:t xml:space="preserve">Implication: </w:t>
      </w:r>
      <w:r>
        <w:rPr>
          <w:rFonts w:ascii="Calibri" w:hAnsi="Calibri"/>
          <w:color w:val="525866"/>
          <w:sz w:val="22"/>
        </w:rPr>
        <w:t>Oracle’s aggressive data center build-out (1.2GW delivered in FY2026, approaching 1GW in Q1 FY2027 alone) is a direct demand driver for VRT power and cooling equipment.</w:t>
      </w:r>
    </w:p>
    <w:p>
      <w:r>
        <w:br w:type="page"/>
      </w:r>
    </w:p>
    <w:p>
      <w:pPr>
        <w:pStyle w:val="Heading1"/>
        <w:pBdr>
          <w:bottom w:val="single" w:sz="4" w:space="1" w:color="FB9120"/>
        </w:pBdr>
      </w:pPr>
      <w:r>
        <w:rPr>
          <w:rFonts w:ascii="Calibri" w:hAnsi="Calibri"/>
          <w:b/>
          <w:color w:val="3B4259"/>
          <w:sz w:val="40"/>
        </w:rPr>
        <w:t>7. Peer Commentaries — Q2 2026 Read-Throughs</w:t>
      </w:r>
    </w:p>
    <w:p>
      <w:r>
        <w:rPr>
          <w:rFonts w:ascii="Calibri" w:hAnsi="Calibri"/>
          <w:b/>
          <w:color w:val="525866"/>
          <w:sz w:val="22"/>
        </w:rPr>
        <w:t xml:space="preserve">Key Takeaway: </w:t>
      </w:r>
      <w:r>
        <w:rPr>
          <w:rFonts w:ascii="Calibri" w:hAnsi="Calibri"/>
          <w:color w:val="525866"/>
          <w:sz w:val="22"/>
        </w:rPr>
        <w:t>Peer commentary from the last 60 days is uniformly and powerfully positive for VRT’s Q2 setup — hyperscaler CapEx is accelerating (Google +$10B raise), AI server demand is supply-constrained (Dell, SMCI), data center cooling orders are surging (Carrier 4x YoY), and power infrastructure backlogs are at record levels (GEV $41B). The read-through from these peers is the strongest corroborating evidence that VRT’s Q2 demand environment was robust.</w:t>
      </w:r>
    </w:p>
    <w:p>
      <w:r>
        <w:rPr>
          <w:rFonts w:ascii="Calibri" w:hAnsi="Calibri"/>
          <w:i/>
          <w:color w:val="525866"/>
          <w:sz w:val="22"/>
        </w:rPr>
        <w:t>Note: Only commentary about Q2 2026 (current reporting quarter) or forward-looking commentary made after Q1 2026 earnings is included. Prior-quarter results commentary has been excluded.</w:t>
      </w:r>
    </w:p>
    <w:p>
      <w:pPr>
        <w:pStyle w:val="Heading2"/>
      </w:pPr>
      <w:r>
        <w:rPr>
          <w:rFonts w:ascii="Calibri" w:hAnsi="Calibri"/>
          <w:b/>
          <w:color w:val="3B4259"/>
          <w:sz w:val="28"/>
        </w:rPr>
        <w:t>NVIDIA — GTC Taipei Keynote &amp; Analyst Q&amp;A (May 31 – June 2, 2026)</w:t>
      </w:r>
    </w:p>
    <w:p>
      <w:r>
        <w:rPr>
          <w:rFonts w:ascii="Calibri" w:hAnsi="Calibri"/>
          <w:b/>
          <w:color w:val="525866"/>
          <w:sz w:val="22"/>
        </w:rPr>
        <w:t xml:space="preserve">Relevance: </w:t>
      </w:r>
      <w:r>
        <w:rPr>
          <w:rFonts w:ascii="Calibri" w:hAnsi="Calibri"/>
          <w:color w:val="525866"/>
          <w:sz w:val="22"/>
        </w:rPr>
        <w:t>NVIDIA is VRT’s most important technology partner and the primary driver of AI infrastructure density requirements. NVIDIA’s commentary on data center scale, power density, and Vera Rubin ramp directly sets the demand trajectory for VRT’s power and cooling products.</w:t>
      </w:r>
    </w:p>
    <w:p>
      <w:pPr>
        <w:pStyle w:val="ListBullet"/>
        <w:ind w:left="360" w:hanging="360"/>
      </w:pPr>
      <w:r>
        <w:rPr>
          <w:rFonts w:ascii="Calibri" w:hAnsi="Calibri"/>
          <w:b/>
          <w:color w:val="525866"/>
          <w:sz w:val="22"/>
        </w:rPr>
        <w:t xml:space="preserve">Vera Rubin in full production: </w:t>
      </w:r>
      <w:r>
        <w:rPr>
          <w:rFonts w:ascii="Calibri" w:hAnsi="Calibri"/>
          <w:color w:val="525866"/>
          <w:sz w:val="22"/>
        </w:rPr>
        <w:t xml:space="preserve">"Vera Rubin is in full production" with a supply chain twice the size of Grace Blackwell. Orders already make it "the fastest and most successful product launch" in NVIDIA’s history. </w:t>
      </w:r>
      <w:r>
        <w:rPr>
          <w:rFonts w:ascii="Calibri" w:hAnsi="Calibri"/>
          <w:b/>
          <w:color w:val="525866"/>
          <w:sz w:val="22"/>
        </w:rPr>
        <w:t xml:space="preserve">VRT read-through: </w:t>
      </w:r>
      <w:r>
        <w:rPr>
          <w:rFonts w:ascii="Calibri" w:hAnsi="Calibri"/>
          <w:color w:val="525866"/>
          <w:sz w:val="22"/>
        </w:rPr>
        <w:t>Vera Rubin drives higher liquid cooling content per rack (800V DC architecture, higher density) — directly expands VRT’s dollars-per-megawatt.</w:t>
      </w:r>
    </w:p>
    <w:p>
      <w:pPr>
        <w:pStyle w:val="ListBullet"/>
        <w:ind w:left="360" w:hanging="360"/>
      </w:pPr>
      <w:r>
        <w:rPr>
          <w:rFonts w:ascii="Calibri" w:hAnsi="Calibri"/>
          <w:b/>
          <w:color w:val="525866"/>
          <w:sz w:val="22"/>
        </w:rPr>
        <w:t xml:space="preserve">AI factory CapEx escalating to $80–$100B per gigawatt: </w:t>
      </w:r>
      <w:r>
        <w:rPr>
          <w:rFonts w:ascii="Calibri" w:hAnsi="Calibri"/>
          <w:color w:val="525866"/>
          <w:sz w:val="22"/>
        </w:rPr>
        <w:t xml:space="preserve">Jensen Huang stated AI factory costs have risen from "$20–$30B" to "$50–$60B" per gigawatt and are heading to "$80–$100B per gigawatt." </w:t>
      </w:r>
      <w:r>
        <w:rPr>
          <w:rFonts w:ascii="Calibri" w:hAnsi="Calibri"/>
          <w:b/>
          <w:color w:val="525866"/>
          <w:sz w:val="22"/>
        </w:rPr>
        <w:t xml:space="preserve">VRT read-through: </w:t>
      </w:r>
      <w:r>
        <w:rPr>
          <w:rFonts w:ascii="Calibri" w:hAnsi="Calibri"/>
          <w:color w:val="525866"/>
          <w:sz w:val="22"/>
        </w:rPr>
        <w:t>Higher CapEx per gigawatt means more infrastructure content per site — directly expands VRT’s revenue opportunity per data center.</w:t>
      </w:r>
    </w:p>
    <w:p>
      <w:pPr>
        <w:pStyle w:val="ListBullet"/>
        <w:ind w:left="360" w:hanging="360"/>
      </w:pPr>
      <w:r>
        <w:rPr>
          <w:rFonts w:ascii="Calibri" w:hAnsi="Calibri"/>
          <w:b/>
          <w:color w:val="525866"/>
          <w:sz w:val="22"/>
        </w:rPr>
        <w:t xml:space="preserve">100GW of AI factories expected before end of decade: </w:t>
      </w:r>
      <w:r>
        <w:rPr>
          <w:rFonts w:ascii="Calibri" w:hAnsi="Calibri"/>
          <w:color w:val="525866"/>
          <w:sz w:val="22"/>
        </w:rPr>
        <w:t xml:space="preserve">NVIDIA confirmed this projection at GTC Taipei, with data centers scaling to "at least half a million" GPUs in the Vera Rubin era. </w:t>
      </w:r>
      <w:r>
        <w:rPr>
          <w:rFonts w:ascii="Calibri" w:hAnsi="Calibri"/>
          <w:b/>
          <w:color w:val="525866"/>
          <w:sz w:val="22"/>
        </w:rPr>
        <w:t xml:space="preserve">VRT read-through: </w:t>
      </w:r>
      <w:r>
        <w:rPr>
          <w:rFonts w:ascii="Calibri" w:hAnsi="Calibri"/>
          <w:color w:val="525866"/>
          <w:sz w:val="22"/>
        </w:rPr>
        <w:t>Validates VRT’s own Investor Conference projection of ~140GW of power capacity additions over the next five years.</w:t>
      </w:r>
    </w:p>
    <w:p>
      <w:pPr>
        <w:pStyle w:val="ListBullet"/>
        <w:ind w:left="360" w:hanging="360"/>
      </w:pPr>
      <w:r>
        <w:rPr>
          <w:rFonts w:ascii="Calibri" w:hAnsi="Calibri"/>
          <w:b/>
          <w:color w:val="525866"/>
          <w:sz w:val="22"/>
        </w:rPr>
        <w:t xml:space="preserve">Power efficiency as the critical metric: </w:t>
      </w:r>
      <w:r>
        <w:rPr>
          <w:rFonts w:ascii="Calibri" w:hAnsi="Calibri"/>
          <w:color w:val="525866"/>
          <w:sz w:val="22"/>
        </w:rPr>
        <w:t xml:space="preserve">"Perf per watt is the only thing that matters" — NVIDIA’s DSX Max LPs technology allows operators to "safely deploy more GPUs inside the same power budget." </w:t>
      </w:r>
      <w:r>
        <w:rPr>
          <w:rFonts w:ascii="Calibri" w:hAnsi="Calibri"/>
          <w:b/>
          <w:color w:val="525866"/>
          <w:sz w:val="22"/>
        </w:rPr>
        <w:t xml:space="preserve">VRT read-through: </w:t>
      </w:r>
      <w:r>
        <w:rPr>
          <w:rFonts w:ascii="Calibri" w:hAnsi="Calibri"/>
          <w:color w:val="525866"/>
          <w:sz w:val="22"/>
        </w:rPr>
        <w:t>Reinforces VRT’s system-level power management value proposition and the importance of its UPS and power distribution products.</w:t>
      </w:r>
    </w:p>
    <w:p>
      <w:pPr>
        <w:pStyle w:val="ListBullet"/>
        <w:ind w:left="360" w:hanging="360"/>
      </w:pPr>
      <w:r>
        <w:rPr>
          <w:rFonts w:ascii="Calibri" w:hAnsi="Calibri"/>
          <w:b/>
          <w:color w:val="525866"/>
          <w:sz w:val="22"/>
        </w:rPr>
        <w:t xml:space="preserve">Neo-cloud segment growing 100% YoY and represents 50% of NVIDIA’s business: </w:t>
      </w:r>
      <w:r>
        <w:rPr>
          <w:rFonts w:ascii="Calibri" w:hAnsi="Calibri"/>
          <w:color w:val="525866"/>
          <w:sz w:val="22"/>
        </w:rPr>
        <w:t xml:space="preserve">This segment (CoreWeave, Mebius, etc.) is growing faster than hyperscalers and building its own data centers. </w:t>
      </w:r>
      <w:r>
        <w:rPr>
          <w:rFonts w:ascii="Calibri" w:hAnsi="Calibri"/>
          <w:b/>
          <w:color w:val="525866"/>
          <w:sz w:val="22"/>
        </w:rPr>
        <w:t xml:space="preserve">VRT read-through: </w:t>
      </w:r>
      <w:r>
        <w:rPr>
          <w:rFonts w:ascii="Calibri" w:hAnsi="Calibri"/>
          <w:color w:val="525866"/>
          <w:sz w:val="22"/>
        </w:rPr>
        <w:t>Neo-clouds are a growing customer segment for VRT beyond the traditional hyperscaler base — supports demand diversification.</w:t>
      </w:r>
    </w:p>
    <w:p>
      <w:pPr>
        <w:pStyle w:val="Heading2"/>
      </w:pPr>
      <w:r>
        <w:rPr>
          <w:rFonts w:ascii="Calibri" w:hAnsi="Calibri"/>
          <w:b/>
          <w:color w:val="3B4259"/>
          <w:sz w:val="28"/>
        </w:rPr>
        <w:t>Dell Technologies — Q1 FY2027 Earnings (May 28, 2026)</w:t>
      </w:r>
    </w:p>
    <w:p>
      <w:r>
        <w:rPr>
          <w:rFonts w:ascii="Calibri" w:hAnsi="Calibri"/>
          <w:b/>
          <w:color w:val="525866"/>
          <w:sz w:val="22"/>
        </w:rPr>
        <w:t xml:space="preserve">Relevance: </w:t>
      </w:r>
      <w:r>
        <w:rPr>
          <w:rFonts w:ascii="Calibri" w:hAnsi="Calibri"/>
          <w:color w:val="525866"/>
          <w:sz w:val="22"/>
        </w:rPr>
        <w:t>Dell is a major systems integrator and OEM partner for AI infrastructure. Dell’s AI server demand directly drives orders for VRT power and cooling equipment that goes into those server deployments.</w:t>
      </w:r>
    </w:p>
    <w:p>
      <w:pPr>
        <w:pStyle w:val="ListBullet"/>
        <w:ind w:left="360" w:hanging="360"/>
      </w:pPr>
      <w:r>
        <w:rPr>
          <w:rFonts w:ascii="Calibri" w:hAnsi="Calibri"/>
          <w:b/>
          <w:color w:val="525866"/>
          <w:sz w:val="22"/>
        </w:rPr>
        <w:t xml:space="preserve">$24.4B in AI orders booked in Q1 FY2027; record $51.3B AI backlog: </w:t>
      </w:r>
      <w:r>
        <w:rPr>
          <w:rFonts w:ascii="Calibri" w:hAnsi="Calibri"/>
          <w:color w:val="525866"/>
          <w:sz w:val="22"/>
        </w:rPr>
        <w:t xml:space="preserve">"Demand was stronger than we anticipated across all lines of businesses and geographies." Pipeline described as "never been healthier" and growing at greater than historical rates. </w:t>
      </w:r>
      <w:r>
        <w:rPr>
          <w:rFonts w:ascii="Calibri" w:hAnsi="Calibri"/>
          <w:b/>
          <w:color w:val="525866"/>
          <w:sz w:val="22"/>
        </w:rPr>
        <w:t xml:space="preserve">VRT read-through: </w:t>
      </w:r>
      <w:r>
        <w:rPr>
          <w:rFonts w:ascii="Calibri" w:hAnsi="Calibri"/>
          <w:color w:val="525866"/>
          <w:sz w:val="22"/>
        </w:rPr>
        <w:t>Dell’s AI backlog is a leading indicator of future VRT power and cooling orders — the record backlog supports VRT’s own pipeline commentary.</w:t>
      </w:r>
    </w:p>
    <w:p>
      <w:pPr>
        <w:pStyle w:val="ListBullet"/>
        <w:ind w:left="360" w:hanging="360"/>
      </w:pPr>
      <w:r>
        <w:rPr>
          <w:rFonts w:ascii="Calibri" w:hAnsi="Calibri"/>
          <w:b/>
          <w:color w:val="525866"/>
          <w:sz w:val="22"/>
        </w:rPr>
        <w:t xml:space="preserve">Full-year AI server guidance raised to $60B (2.4x YoY): </w:t>
      </w:r>
      <w:r>
        <w:rPr>
          <w:rFonts w:ascii="Calibri" w:hAnsi="Calibri"/>
          <w:color w:val="525866"/>
          <w:sz w:val="22"/>
        </w:rPr>
        <w:t xml:space="preserve">Dell raised its full-year revenue guide by $27B, with ISG expected to grow ~80%. Traditional servers also up 92% in Q1. </w:t>
      </w:r>
      <w:r>
        <w:rPr>
          <w:rFonts w:ascii="Calibri" w:hAnsi="Calibri"/>
          <w:b/>
          <w:color w:val="525866"/>
          <w:sz w:val="22"/>
        </w:rPr>
        <w:t xml:space="preserve">VRT read-through: </w:t>
      </w:r>
      <w:r>
        <w:rPr>
          <w:rFonts w:ascii="Calibri" w:hAnsi="Calibri"/>
          <w:color w:val="525866"/>
          <w:sz w:val="22"/>
        </w:rPr>
        <w:t>Directly positive — every AI server deployed requires VRT power and cooling infrastructure.</w:t>
      </w:r>
    </w:p>
    <w:p>
      <w:pPr>
        <w:pStyle w:val="ListBullet"/>
        <w:ind w:left="360" w:hanging="360"/>
      </w:pPr>
      <w:r>
        <w:rPr>
          <w:rFonts w:ascii="Calibri" w:hAnsi="Calibri"/>
          <w:b/>
          <w:color w:val="525866"/>
          <w:sz w:val="22"/>
        </w:rPr>
        <w:t xml:space="preserve">Demand is supply-constrained, not demand-constrained: </w:t>
      </w:r>
      <w:r>
        <w:rPr>
          <w:rFonts w:ascii="Calibri" w:hAnsi="Calibri"/>
          <w:color w:val="525866"/>
          <w:sz w:val="22"/>
        </w:rPr>
        <w:t xml:space="preserve">"We have a supply issue. We are supply constrained in the second half. It is not a demand issue for us." Primary constraint is memory (DRAM, NAND). </w:t>
      </w:r>
      <w:r>
        <w:rPr>
          <w:rFonts w:ascii="Calibri" w:hAnsi="Calibri"/>
          <w:b/>
          <w:color w:val="525866"/>
          <w:sz w:val="22"/>
        </w:rPr>
        <w:t xml:space="preserve">VRT read-through: </w:t>
      </w:r>
      <w:r>
        <w:rPr>
          <w:rFonts w:ascii="Calibri" w:hAnsi="Calibri"/>
          <w:color w:val="525866"/>
          <w:sz w:val="22"/>
        </w:rPr>
        <w:t>Supply constraints at the server level could create some timing lumpiness in VRT’s product revenue, but the underlying demand signal is unambiguously strong.</w:t>
      </w:r>
    </w:p>
    <w:p>
      <w:pPr>
        <w:pStyle w:val="ListBullet"/>
        <w:ind w:left="360" w:hanging="360"/>
      </w:pPr>
      <w:r>
        <w:rPr>
          <w:rFonts w:ascii="Calibri" w:hAnsi="Calibri"/>
          <w:b/>
          <w:color w:val="525866"/>
          <w:sz w:val="22"/>
        </w:rPr>
        <w:t xml:space="preserve">Agentic AI driving new demand for traditional servers and CPUs: </w:t>
      </w:r>
      <w:r>
        <w:rPr>
          <w:rFonts w:ascii="Calibri" w:hAnsi="Calibri"/>
          <w:color w:val="525866"/>
          <w:sz w:val="22"/>
        </w:rPr>
        <w:t xml:space="preserve">"Agentic is really the movement of AI from an adviser to an operator" — driving incremental demand for dense servers beyond GPU clusters. </w:t>
      </w:r>
      <w:r>
        <w:rPr>
          <w:rFonts w:ascii="Calibri" w:hAnsi="Calibri"/>
          <w:b/>
          <w:color w:val="525866"/>
          <w:sz w:val="22"/>
        </w:rPr>
        <w:t xml:space="preserve">VRT read-through: </w:t>
      </w:r>
      <w:r>
        <w:rPr>
          <w:rFonts w:ascii="Calibri" w:hAnsi="Calibri"/>
          <w:color w:val="525866"/>
          <w:sz w:val="22"/>
        </w:rPr>
        <w:t>Broader AI compute adoption (not just GPU clusters) expands VRT’s addressable market beyond hyperscale to enterprise and neo-cloud.</w:t>
      </w:r>
    </w:p>
    <w:p>
      <w:pPr>
        <w:pStyle w:val="ListBullet"/>
        <w:ind w:left="360" w:hanging="360"/>
      </w:pPr>
      <w:r>
        <w:rPr>
          <w:rFonts w:ascii="Calibri" w:hAnsi="Calibri"/>
          <w:b/>
          <w:color w:val="525866"/>
          <w:sz w:val="22"/>
        </w:rPr>
        <w:t xml:space="preserve">Direct liquid cooling biased toward large GPU deployments (GB200, GB300, Vera Rubin): </w:t>
      </w:r>
      <w:r>
        <w:rPr>
          <w:rFonts w:ascii="Calibri" w:hAnsi="Calibri"/>
          <w:color w:val="525866"/>
          <w:sz w:val="22"/>
        </w:rPr>
        <w:t xml:space="preserve">Dell confirmed liquid cooling is the architecture for large-scale GPU deployments. </w:t>
      </w:r>
      <w:r>
        <w:rPr>
          <w:rFonts w:ascii="Calibri" w:hAnsi="Calibri"/>
          <w:b/>
          <w:color w:val="525866"/>
          <w:sz w:val="22"/>
        </w:rPr>
        <w:t xml:space="preserve">VRT read-through: </w:t>
      </w:r>
      <w:r>
        <w:rPr>
          <w:rFonts w:ascii="Calibri" w:hAnsi="Calibri"/>
          <w:color w:val="525866"/>
          <w:sz w:val="22"/>
        </w:rPr>
        <w:t>Validates VRT’s liquid cooling product roadmap and the shift toward higher-content thermal management solutions.</w:t>
      </w:r>
    </w:p>
    <w:p>
      <w:pPr>
        <w:pStyle w:val="Heading2"/>
      </w:pPr>
      <w:r>
        <w:rPr>
          <w:rFonts w:ascii="Calibri" w:hAnsi="Calibri"/>
          <w:b/>
          <w:color w:val="3B4259"/>
          <w:sz w:val="28"/>
        </w:rPr>
        <w:t>Alphabet / Google — Q2 2026 Earnings (July 22, 2026)</w:t>
      </w:r>
    </w:p>
    <w:p>
      <w:r>
        <w:rPr>
          <w:rFonts w:ascii="Calibri" w:hAnsi="Calibri"/>
          <w:b/>
          <w:color w:val="525866"/>
          <w:sz w:val="22"/>
        </w:rPr>
        <w:t xml:space="preserve">Relevance: </w:t>
      </w:r>
      <w:r>
        <w:rPr>
          <w:rFonts w:ascii="Calibri" w:hAnsi="Calibri"/>
          <w:color w:val="525866"/>
          <w:sz w:val="22"/>
        </w:rPr>
        <w:t>Google is one of VRT’s largest hyperscaler customers. Google’s CapEx trajectory is the most direct demand signal for VRT’s power and cooling products. This is the most timely peer print — reported one week before VRT’s Q2 earnings.</w:t>
      </w:r>
    </w:p>
    <w:p>
      <w:pPr>
        <w:pStyle w:val="ListBullet"/>
        <w:ind w:left="360" w:hanging="360"/>
      </w:pPr>
      <w:r>
        <w:rPr>
          <w:rFonts w:ascii="Calibri" w:hAnsi="Calibri"/>
          <w:b/>
          <w:color w:val="525866"/>
          <w:sz w:val="22"/>
        </w:rPr>
        <w:t xml:space="preserve">Full-year 2026 CapEx guidance raised to $195–$205B (from $180–$190B): </w:t>
      </w:r>
      <w:r>
        <w:rPr>
          <w:rFonts w:ascii="Calibri" w:hAnsi="Calibri"/>
          <w:color w:val="525866"/>
          <w:sz w:val="22"/>
        </w:rPr>
        <w:t xml:space="preserve">Q2 2026 CapEx was $44.9B, with 40% directed to data centers and networking equipment. "The increase in the range is primarily due to an acceleration in the delivery of capacity to meet growing demand." </w:t>
      </w:r>
      <w:r>
        <w:rPr>
          <w:rFonts w:ascii="Calibri" w:hAnsi="Calibri"/>
          <w:b/>
          <w:color w:val="525866"/>
          <w:sz w:val="22"/>
        </w:rPr>
        <w:t xml:space="preserve">VRT read-through: </w:t>
      </w:r>
      <w:r>
        <w:rPr>
          <w:rFonts w:ascii="Calibri" w:hAnsi="Calibri"/>
          <w:color w:val="525866"/>
          <w:sz w:val="22"/>
        </w:rPr>
        <w:t>A $10B+ CapEx raise from a single hyperscaler is the most direct positive demand signal for VRT heading into Q2 earnings. The 40% data center/networking allocation implies ~$18B of data center infrastructure spend in Q2 alone from Google.</w:t>
      </w:r>
    </w:p>
    <w:p>
      <w:pPr>
        <w:pStyle w:val="ListBullet"/>
        <w:ind w:left="360" w:hanging="360"/>
      </w:pPr>
      <w:r>
        <w:rPr>
          <w:rFonts w:ascii="Calibri" w:hAnsi="Calibri"/>
          <w:b/>
          <w:color w:val="525866"/>
          <w:sz w:val="22"/>
        </w:rPr>
        <w:t xml:space="preserve">CapEx expected to increase significantly in 2027: </w:t>
      </w:r>
      <w:r>
        <w:rPr>
          <w:rFonts w:ascii="Calibri" w:hAnsi="Calibri"/>
          <w:color w:val="525866"/>
          <w:sz w:val="22"/>
        </w:rPr>
        <w:t xml:space="preserve">Google confirmed 2027 CapEx will be "significantly" higher than 2026, with more details to come. </w:t>
      </w:r>
      <w:r>
        <w:rPr>
          <w:rFonts w:ascii="Calibri" w:hAnsi="Calibri"/>
          <w:b/>
          <w:color w:val="525866"/>
          <w:sz w:val="22"/>
        </w:rPr>
        <w:t xml:space="preserve">VRT read-through: </w:t>
      </w:r>
      <w:r>
        <w:rPr>
          <w:rFonts w:ascii="Calibri" w:hAnsi="Calibri"/>
          <w:color w:val="525866"/>
          <w:sz w:val="22"/>
        </w:rPr>
        <w:t>Supports VRT’s multi-year revenue visibility and backlog elongation into 2027.</w:t>
      </w:r>
    </w:p>
    <w:p>
      <w:pPr>
        <w:pStyle w:val="ListBullet"/>
        <w:ind w:left="360" w:hanging="360"/>
      </w:pPr>
      <w:r>
        <w:rPr>
          <w:rFonts w:ascii="Calibri" w:hAnsi="Calibri"/>
          <w:b/>
          <w:color w:val="525866"/>
          <w:sz w:val="22"/>
        </w:rPr>
        <w:t xml:space="preserve">Supply-constrained environment persists: </w:t>
      </w:r>
      <w:r>
        <w:rPr>
          <w:rFonts w:ascii="Calibri" w:hAnsi="Calibri"/>
          <w:color w:val="525866"/>
          <w:sz w:val="22"/>
        </w:rPr>
        <w:t xml:space="preserve">"We continue to be supply constrained, a sign of momentum and rapid adoption." Google plans to expand use of third-party capacity in Q3 as a bridging strategy. </w:t>
      </w:r>
      <w:r>
        <w:rPr>
          <w:rFonts w:ascii="Calibri" w:hAnsi="Calibri"/>
          <w:b/>
          <w:color w:val="525866"/>
          <w:sz w:val="22"/>
        </w:rPr>
        <w:t xml:space="preserve">VRT read-through: </w:t>
      </w:r>
      <w:r>
        <w:rPr>
          <w:rFonts w:ascii="Calibri" w:hAnsi="Calibri"/>
          <w:color w:val="525866"/>
          <w:sz w:val="22"/>
        </w:rPr>
        <w:t>Supply constraints at the hyperscaler level validate VRT’s own commentary that demand is outpacing supply — supports pricing power and backlog durability.</w:t>
      </w:r>
    </w:p>
    <w:p>
      <w:pPr>
        <w:pStyle w:val="ListBullet"/>
        <w:ind w:left="360" w:hanging="360"/>
      </w:pPr>
      <w:r>
        <w:rPr>
          <w:rFonts w:ascii="Calibri" w:hAnsi="Calibri"/>
          <w:b/>
          <w:color w:val="525866"/>
          <w:sz w:val="22"/>
        </w:rPr>
        <w:t xml:space="preserve">Google Cloud backlog increased $50B+ sequentially to $514B: </w:t>
      </w:r>
      <w:r>
        <w:rPr>
          <w:rFonts w:ascii="Calibri" w:hAnsi="Calibri"/>
          <w:color w:val="525866"/>
          <w:sz w:val="22"/>
        </w:rPr>
        <w:t xml:space="preserve">Driven by strong enterprise AI demand. Over 50% expected to be recognized as revenue in the next 24 months. </w:t>
      </w:r>
      <w:r>
        <w:rPr>
          <w:rFonts w:ascii="Calibri" w:hAnsi="Calibri"/>
          <w:b/>
          <w:color w:val="525866"/>
          <w:sz w:val="22"/>
        </w:rPr>
        <w:t xml:space="preserve">VRT read-through: </w:t>
      </w:r>
      <w:r>
        <w:rPr>
          <w:rFonts w:ascii="Calibri" w:hAnsi="Calibri"/>
          <w:color w:val="525866"/>
          <w:sz w:val="22"/>
        </w:rPr>
        <w:t>Long-dated cloud commitments translate into long-dated data center infrastructure orders — supports VRT’s backlog elongation narrative.</w:t>
      </w:r>
    </w:p>
    <w:p>
      <w:pPr>
        <w:pStyle w:val="ListBullet"/>
        <w:ind w:left="360" w:hanging="360"/>
      </w:pPr>
      <w:r>
        <w:rPr>
          <w:rFonts w:ascii="Calibri" w:hAnsi="Calibri"/>
          <w:b/>
          <w:color w:val="525866"/>
          <w:sz w:val="22"/>
        </w:rPr>
        <w:t xml:space="preserve">Vera Rubin platform and TPU 80 cited as key AI infrastructure: </w:t>
      </w:r>
      <w:r>
        <w:rPr>
          <w:rFonts w:ascii="Calibri" w:hAnsi="Calibri"/>
          <w:color w:val="525866"/>
          <w:sz w:val="22"/>
        </w:rPr>
        <w:t xml:space="preserve">Google began recognizing revenues from TPU system sales delivered to customer data centers for the first time in Q2. </w:t>
      </w:r>
      <w:r>
        <w:rPr>
          <w:rFonts w:ascii="Calibri" w:hAnsi="Calibri"/>
          <w:b/>
          <w:color w:val="525866"/>
          <w:sz w:val="22"/>
        </w:rPr>
        <w:t xml:space="preserve">VRT read-through: </w:t>
      </w:r>
      <w:r>
        <w:rPr>
          <w:rFonts w:ascii="Calibri" w:hAnsi="Calibri"/>
          <w:color w:val="525866"/>
          <w:sz w:val="22"/>
        </w:rPr>
        <w:t>New GPU/TPU generations drive higher power density requirements — directly expands VRT’s content per rack.</w:t>
      </w:r>
    </w:p>
    <w:p>
      <w:pPr>
        <w:pStyle w:val="Heading2"/>
      </w:pPr>
      <w:r>
        <w:rPr>
          <w:rFonts w:ascii="Calibri" w:hAnsi="Calibri"/>
          <w:b/>
          <w:color w:val="3B4259"/>
          <w:sz w:val="28"/>
        </w:rPr>
        <w:t>GE Vernova — Q2 2026 Earnings (July 22, 2026)</w:t>
      </w:r>
    </w:p>
    <w:p>
      <w:r>
        <w:rPr>
          <w:rFonts w:ascii="Calibri" w:hAnsi="Calibri"/>
          <w:b/>
          <w:color w:val="525866"/>
          <w:sz w:val="22"/>
        </w:rPr>
        <w:t xml:space="preserve">Relevance: </w:t>
      </w:r>
      <w:r>
        <w:rPr>
          <w:rFonts w:ascii="Calibri" w:hAnsi="Calibri"/>
          <w:color w:val="525866"/>
          <w:sz w:val="22"/>
        </w:rPr>
        <w:t>GEV is a direct peer in data center power infrastructure (grid-to-data-center power equipment). GEV’s data center order trends are the most comparable leading indicator for VRT’s own power infrastructure demand.</w:t>
      </w:r>
    </w:p>
    <w:p>
      <w:pPr>
        <w:pStyle w:val="ListBullet"/>
        <w:ind w:left="360" w:hanging="360"/>
      </w:pPr>
      <w:r>
        <w:rPr>
          <w:rFonts w:ascii="Calibri" w:hAnsi="Calibri"/>
          <w:b/>
          <w:color w:val="525866"/>
          <w:sz w:val="22"/>
        </w:rPr>
        <w:t xml:space="preserve">$2.7B of data center orders in electrification in Q2 alone; $5B+ in H1 2026 (more than double full-year 2025): </w:t>
      </w:r>
      <w:r>
        <w:rPr>
          <w:rFonts w:ascii="Calibri" w:hAnsi="Calibri"/>
          <w:color w:val="525866"/>
          <w:sz w:val="22"/>
        </w:rPr>
        <w:t xml:space="preserve">"We are in the early stages of this electricity investment supercycle." Equipment backlog rose to $41B (+69% YoY). </w:t>
      </w:r>
      <w:r>
        <w:rPr>
          <w:rFonts w:ascii="Calibri" w:hAnsi="Calibri"/>
          <w:b/>
          <w:color w:val="525866"/>
          <w:sz w:val="22"/>
        </w:rPr>
        <w:t xml:space="preserve">VRT read-through: </w:t>
      </w:r>
      <w:r>
        <w:rPr>
          <w:rFonts w:ascii="Calibri" w:hAnsi="Calibri"/>
          <w:color w:val="525866"/>
          <w:sz w:val="22"/>
        </w:rPr>
        <w:t>GEV’s data center order acceleration in Q2 is the strongest same-quarter peer signal for VRT — confirms the demand environment was robust in the quarter VRT is about to report.</w:t>
      </w:r>
    </w:p>
    <w:p>
      <w:pPr>
        <w:pStyle w:val="ListBullet"/>
        <w:ind w:left="360" w:hanging="360"/>
      </w:pPr>
      <w:r>
        <w:rPr>
          <w:rFonts w:ascii="Calibri" w:hAnsi="Calibri"/>
          <w:b/>
          <w:color w:val="525866"/>
          <w:sz w:val="22"/>
        </w:rPr>
        <w:t xml:space="preserve">Scope per gigawatt currently ~$300M, with entitlement of 2–3x: </w:t>
      </w:r>
      <w:r>
        <w:rPr>
          <w:rFonts w:ascii="Calibri" w:hAnsi="Calibri"/>
          <w:color w:val="525866"/>
          <w:sz w:val="22"/>
        </w:rPr>
        <w:t xml:space="preserve">GEV sees MV UPS and solid-state transformer products expanding its content per gigawatt significantly. </w:t>
      </w:r>
      <w:r>
        <w:rPr>
          <w:rFonts w:ascii="Calibri" w:hAnsi="Calibri"/>
          <w:b/>
          <w:color w:val="525866"/>
          <w:sz w:val="22"/>
        </w:rPr>
        <w:t xml:space="preserve">VRT read-through: </w:t>
      </w:r>
      <w:r>
        <w:rPr>
          <w:rFonts w:ascii="Calibri" w:hAnsi="Calibri"/>
          <w:color w:val="525866"/>
          <w:sz w:val="22"/>
        </w:rPr>
        <w:t>GEV’s content expansion narrative mirrors VRT’s own dollars-per-megawatt expansion thesis — both companies are competing for incremental content in the same data center power stack.</w:t>
      </w:r>
    </w:p>
    <w:p>
      <w:pPr>
        <w:pStyle w:val="ListBullet"/>
        <w:ind w:left="360" w:hanging="360"/>
      </w:pPr>
      <w:r>
        <w:rPr>
          <w:rFonts w:ascii="Calibri" w:hAnsi="Calibri"/>
          <w:b/>
          <w:color w:val="525866"/>
          <w:sz w:val="22"/>
        </w:rPr>
        <w:t xml:space="preserve">5MW solid-state transformer prototype delivered to first hyperscaler for testing: </w:t>
      </w:r>
      <w:r>
        <w:rPr>
          <w:rFonts w:ascii="Calibri" w:hAnsi="Calibri"/>
          <w:color w:val="525866"/>
          <w:sz w:val="22"/>
        </w:rPr>
        <w:t xml:space="preserve">GEV confirmed the SST prototype was built and will be delivered to a hyperscaler later in 2026 for testing. </w:t>
      </w:r>
      <w:r>
        <w:rPr>
          <w:rFonts w:ascii="Calibri" w:hAnsi="Calibri"/>
          <w:b/>
          <w:color w:val="525866"/>
          <w:sz w:val="22"/>
        </w:rPr>
        <w:t xml:space="preserve">VRT read-through: </w:t>
      </w:r>
      <w:r>
        <w:rPr>
          <w:rFonts w:ascii="Calibri" w:hAnsi="Calibri"/>
          <w:color w:val="525866"/>
          <w:sz w:val="22"/>
        </w:rPr>
        <w:t>GEV’s SST development is a potential competitive threat to VRT’s 800V DC power architecture ambitions — but both companies acknowledge SST orders at scale are a 2027+ event.</w:t>
      </w:r>
    </w:p>
    <w:p>
      <w:pPr>
        <w:pStyle w:val="ListBullet"/>
        <w:ind w:left="360" w:hanging="360"/>
      </w:pPr>
      <w:r>
        <w:rPr>
          <w:rFonts w:ascii="Calibri" w:hAnsi="Calibri"/>
          <w:b/>
          <w:color w:val="525866"/>
          <w:sz w:val="22"/>
        </w:rPr>
        <w:t xml:space="preserve">800V DC transition is the trigger for SST orders at scale: </w:t>
      </w:r>
      <w:r>
        <w:rPr>
          <w:rFonts w:ascii="Calibri" w:hAnsi="Calibri"/>
          <w:color w:val="525866"/>
          <w:sz w:val="22"/>
        </w:rPr>
        <w:t xml:space="preserve">GEV explicitly linked the 800V DC architecture shift to the timing of large-scale SST orders. </w:t>
      </w:r>
      <w:r>
        <w:rPr>
          <w:rFonts w:ascii="Calibri" w:hAnsi="Calibri"/>
          <w:b/>
          <w:color w:val="525866"/>
          <w:sz w:val="22"/>
        </w:rPr>
        <w:t xml:space="preserve">VRT read-through: </w:t>
      </w:r>
      <w:r>
        <w:rPr>
          <w:rFonts w:ascii="Calibri" w:hAnsi="Calibri"/>
          <w:color w:val="525866"/>
          <w:sz w:val="22"/>
        </w:rPr>
        <w:t>Consistent with VRT’s own 800V DC timeline (product ready end of 2026, commercialization beginning of 2027, steady ramp through 2027).</w:t>
      </w:r>
    </w:p>
    <w:p>
      <w:pPr>
        <w:pStyle w:val="Heading2"/>
      </w:pPr>
      <w:r>
        <w:rPr>
          <w:rFonts w:ascii="Calibri" w:hAnsi="Calibri"/>
          <w:b/>
          <w:color w:val="3B4259"/>
          <w:sz w:val="28"/>
        </w:rPr>
        <w:t>Carrier Global — Q2 2026 Earnings (July 28, 2026)</w:t>
      </w:r>
    </w:p>
    <w:p>
      <w:r>
        <w:rPr>
          <w:rFonts w:ascii="Calibri" w:hAnsi="Calibri"/>
          <w:b/>
          <w:color w:val="525866"/>
          <w:sz w:val="22"/>
        </w:rPr>
        <w:t xml:space="preserve">Relevance: </w:t>
      </w:r>
      <w:r>
        <w:rPr>
          <w:rFonts w:ascii="Calibri" w:hAnsi="Calibri"/>
          <w:color w:val="525866"/>
          <w:sz w:val="22"/>
        </w:rPr>
        <w:t>Carrier is a direct peer in data center cooling (chillers, CDUs, HVAC). Carrier’s data center cooling order trends are the most directly comparable read-through for VRT’s thermal management segment. This is a same-day peer print.</w:t>
      </w:r>
    </w:p>
    <w:p>
      <w:pPr>
        <w:pStyle w:val="ListBullet"/>
        <w:ind w:left="360" w:hanging="360"/>
      </w:pPr>
      <w:r>
        <w:rPr>
          <w:rFonts w:ascii="Calibri" w:hAnsi="Calibri"/>
          <w:b/>
          <w:color w:val="525866"/>
          <w:sz w:val="22"/>
        </w:rPr>
        <w:t xml:space="preserve">Data center orders up 4x YoY in Q2; commercial HVAC orders up 65%: </w:t>
      </w:r>
      <w:r>
        <w:rPr>
          <w:rFonts w:ascii="Calibri" w:hAnsi="Calibri"/>
          <w:color w:val="525866"/>
          <w:sz w:val="22"/>
        </w:rPr>
        <w:t xml:space="preserve">"Two key orders were very strong, up about 40%, with commercial HVAC up about 65%, driven by continued strength in data centers where orders were up four x over last year." </w:t>
      </w:r>
      <w:r>
        <w:rPr>
          <w:rFonts w:ascii="Calibri" w:hAnsi="Calibri"/>
          <w:b/>
          <w:color w:val="525866"/>
          <w:sz w:val="22"/>
        </w:rPr>
        <w:t xml:space="preserve">VRT read-through: </w:t>
      </w:r>
      <w:r>
        <w:rPr>
          <w:rFonts w:ascii="Calibri" w:hAnsi="Calibri"/>
          <w:color w:val="525866"/>
          <w:sz w:val="22"/>
        </w:rPr>
        <w:t>4x YoY data center cooling order growth at Carrier is the most direct same-quarter read-through for VRT’s thermal management demand — strongly positive.</w:t>
      </w:r>
    </w:p>
    <w:p>
      <w:pPr>
        <w:pStyle w:val="ListBullet"/>
        <w:ind w:left="360" w:hanging="360"/>
      </w:pPr>
      <w:r>
        <w:rPr>
          <w:rFonts w:ascii="Calibri" w:hAnsi="Calibri"/>
          <w:b/>
          <w:color w:val="525866"/>
          <w:sz w:val="22"/>
        </w:rPr>
        <w:t xml:space="preserve">Full-year data center sales outlook raised to ~$2B (from $1.5B prior): </w:t>
      </w:r>
      <w:r>
        <w:rPr>
          <w:rFonts w:ascii="Calibri" w:hAnsi="Calibri"/>
          <w:color w:val="525866"/>
          <w:sz w:val="22"/>
        </w:rPr>
        <w:t xml:space="preserve">Second consecutive year of doubling data center sales. 2026 data center sales forecast entirely covered by current backlog. Exit rate of ~$2.5B heading into 2027. </w:t>
      </w:r>
      <w:r>
        <w:rPr>
          <w:rFonts w:ascii="Calibri" w:hAnsi="Calibri"/>
          <w:b/>
          <w:color w:val="525866"/>
          <w:sz w:val="22"/>
        </w:rPr>
        <w:t xml:space="preserve">VRT read-through: </w:t>
      </w:r>
      <w:r>
        <w:rPr>
          <w:rFonts w:ascii="Calibri" w:hAnsi="Calibri"/>
          <w:color w:val="525866"/>
          <w:sz w:val="22"/>
        </w:rPr>
        <w:t>Carrier’s data center revenue doubling validates the cooling TAM expansion VRT has been describing — and Carrier’s backlog coverage for 2026 mirrors VRT’s own backlog visibility commentary.</w:t>
      </w:r>
    </w:p>
    <w:p>
      <w:pPr>
        <w:pStyle w:val="ListBullet"/>
        <w:ind w:left="360" w:hanging="360"/>
      </w:pPr>
      <w:r>
        <w:rPr>
          <w:rFonts w:ascii="Calibri" w:hAnsi="Calibri"/>
          <w:b/>
          <w:color w:val="525866"/>
          <w:sz w:val="22"/>
        </w:rPr>
        <w:t xml:space="preserve">Liquid cooling ramp accelerating: </w:t>
      </w:r>
      <w:r>
        <w:rPr>
          <w:rFonts w:ascii="Calibri" w:hAnsi="Calibri"/>
          <w:color w:val="525866"/>
          <w:sz w:val="22"/>
        </w:rPr>
        <w:t xml:space="preserve">Carrier is launching a 2.5MW CDU this quarter and targeting a 5MW CDU by end of 2026. "We will see a continued increase in liquid cooling." </w:t>
      </w:r>
      <w:r>
        <w:rPr>
          <w:rFonts w:ascii="Calibri" w:hAnsi="Calibri"/>
          <w:b/>
          <w:color w:val="525866"/>
          <w:sz w:val="22"/>
        </w:rPr>
        <w:t xml:space="preserve">VRT read-through: </w:t>
      </w:r>
      <w:r>
        <w:rPr>
          <w:rFonts w:ascii="Calibri" w:hAnsi="Calibri"/>
          <w:color w:val="525866"/>
          <w:sz w:val="22"/>
        </w:rPr>
        <w:t>Liquid cooling product roadmap acceleration at Carrier mirrors VRT’s own CDU and liquid cooling expansion — confirms the market is moving toward higher-density liquid cooling solutions.</w:t>
      </w:r>
    </w:p>
    <w:p>
      <w:pPr>
        <w:pStyle w:val="ListBullet"/>
        <w:ind w:left="360" w:hanging="360"/>
      </w:pPr>
      <w:r>
        <w:rPr>
          <w:rFonts w:ascii="Calibri" w:hAnsi="Calibri"/>
          <w:b/>
          <w:color w:val="525866"/>
          <w:sz w:val="22"/>
        </w:rPr>
        <w:t xml:space="preserve">Data center margins accretive to overall commercial HVAC margins: </w:t>
      </w:r>
      <w:r>
        <w:rPr>
          <w:rFonts w:ascii="Calibri" w:hAnsi="Calibri"/>
          <w:color w:val="525866"/>
          <w:sz w:val="22"/>
        </w:rPr>
        <w:t xml:space="preserve">Carrier confirmed data center margins are generally accretive to overall commercial HVAC margins. </w:t>
      </w:r>
      <w:r>
        <w:rPr>
          <w:rFonts w:ascii="Calibri" w:hAnsi="Calibri"/>
          <w:b/>
          <w:color w:val="525866"/>
          <w:sz w:val="22"/>
        </w:rPr>
        <w:t xml:space="preserve">VRT read-through: </w:t>
      </w:r>
      <w:r>
        <w:rPr>
          <w:rFonts w:ascii="Calibri" w:hAnsi="Calibri"/>
          <w:color w:val="525866"/>
          <w:sz w:val="22"/>
        </w:rPr>
        <w:t>Positive margin read-through — if data center cooling is margin-accretive for Carrier, the same dynamic likely applies to VRT’s thermal management segment.</w:t>
      </w:r>
    </w:p>
    <w:p>
      <w:pPr>
        <w:pStyle w:val="ListBullet"/>
        <w:ind w:left="360" w:hanging="360"/>
      </w:pPr>
      <w:r>
        <w:rPr>
          <w:rFonts w:ascii="Calibri" w:hAnsi="Calibri"/>
          <w:b/>
          <w:color w:val="525866"/>
          <w:sz w:val="22"/>
        </w:rPr>
        <w:t xml:space="preserve">New U.S. manufacturing facility announced for data center cooling: </w:t>
      </w:r>
      <w:r>
        <w:rPr>
          <w:rFonts w:ascii="Calibri" w:hAnsi="Calibri"/>
          <w:color w:val="525866"/>
          <w:sz w:val="22"/>
        </w:rPr>
        <w:t xml:space="preserve">Carrier announced a new U.S. facility focused on data center cooling (air-cooled and water-cooled chillers), with CapEx raised $100M to ~$600M. </w:t>
      </w:r>
      <w:r>
        <w:rPr>
          <w:rFonts w:ascii="Calibri" w:hAnsi="Calibri"/>
          <w:b/>
          <w:color w:val="525866"/>
          <w:sz w:val="22"/>
        </w:rPr>
        <w:t xml:space="preserve">VRT read-through: </w:t>
      </w:r>
      <w:r>
        <w:rPr>
          <w:rFonts w:ascii="Calibri" w:hAnsi="Calibri"/>
          <w:color w:val="525866"/>
          <w:sz w:val="22"/>
        </w:rPr>
        <w:t>Carrier’s capacity investment validates the multi-year demand durability — consistent with VRT’s own accelerated capacity expansion messaging.</w:t>
      </w:r>
    </w:p>
    <w:p>
      <w:pPr>
        <w:pStyle w:val="Heading2"/>
      </w:pPr>
      <w:r>
        <w:rPr>
          <w:rFonts w:ascii="Calibri" w:hAnsi="Calibri"/>
          <w:b/>
          <w:color w:val="3B4259"/>
          <w:sz w:val="28"/>
        </w:rPr>
        <w:t>Oracle — Q4 FY2026 Earnings (June 10, 2026)</w:t>
      </w:r>
    </w:p>
    <w:p>
      <w:r>
        <w:rPr>
          <w:rFonts w:ascii="Calibri" w:hAnsi="Calibri"/>
          <w:b/>
          <w:color w:val="525866"/>
          <w:sz w:val="22"/>
        </w:rPr>
        <w:t xml:space="preserve">Relevance: </w:t>
      </w:r>
      <w:r>
        <w:rPr>
          <w:rFonts w:ascii="Calibri" w:hAnsi="Calibri"/>
          <w:color w:val="525866"/>
          <w:sz w:val="22"/>
        </w:rPr>
        <w:t>Oracle is a major hyperscaler customer building out data center capacity at an accelerating pace. Oracle’s CapEx and capacity delivery data provides visibility into the Q2 2026 demand environment for VRT.</w:t>
      </w:r>
    </w:p>
    <w:p>
      <w:pPr>
        <w:pStyle w:val="ListBullet"/>
        <w:ind w:left="360" w:hanging="360"/>
      </w:pPr>
      <w:r>
        <w:rPr>
          <w:rFonts w:ascii="Calibri" w:hAnsi="Calibri"/>
          <w:b/>
          <w:color w:val="525866"/>
          <w:sz w:val="22"/>
        </w:rPr>
        <w:t xml:space="preserve">FY2026 net CapEx of $48B; FY2027 guided to ~$70B: </w:t>
      </w:r>
      <w:r>
        <w:rPr>
          <w:rFonts w:ascii="Calibri" w:hAnsi="Calibri"/>
          <w:color w:val="525866"/>
          <w:sz w:val="22"/>
        </w:rPr>
        <w:t xml:space="preserve">Oracle delivered over 1.2GW of capacity to customers in FY2026. FY2027 Q1 delivery approaching 1GW — nearly the same as the prior four quarters combined. </w:t>
      </w:r>
      <w:r>
        <w:rPr>
          <w:rFonts w:ascii="Calibri" w:hAnsi="Calibri"/>
          <w:b/>
          <w:color w:val="525866"/>
          <w:sz w:val="22"/>
        </w:rPr>
        <w:t xml:space="preserve">VRT read-through: </w:t>
      </w:r>
      <w:r>
        <w:rPr>
          <w:rFonts w:ascii="Calibri" w:hAnsi="Calibri"/>
          <w:color w:val="525866"/>
          <w:sz w:val="22"/>
        </w:rPr>
        <w:t>Oracle’s accelerating capacity delivery pace (from 1.2GW/year to nearly 1GW/quarter) is a direct demand driver for VRT power and cooling equipment.</w:t>
      </w:r>
    </w:p>
    <w:p>
      <w:pPr>
        <w:pStyle w:val="ListBullet"/>
        <w:ind w:left="360" w:hanging="360"/>
      </w:pPr>
      <w:r>
        <w:rPr>
          <w:rFonts w:ascii="Calibri" w:hAnsi="Calibri"/>
          <w:b/>
          <w:color w:val="525866"/>
          <w:sz w:val="22"/>
        </w:rPr>
        <w:t xml:space="preserve">$67B in AI infrastructure contracts signed in Q4; RPO at $638B (+363% YoY): </w:t>
      </w:r>
      <w:r>
        <w:rPr>
          <w:rFonts w:ascii="Calibri" w:hAnsi="Calibri"/>
          <w:color w:val="525866"/>
          <w:sz w:val="22"/>
        </w:rPr>
        <w:t xml:space="preserve">"AI infrastructure makes the existing cloud infrastructure market look small. Everything we see shows this market size is trillions of dollars per year." </w:t>
      </w:r>
      <w:r>
        <w:rPr>
          <w:rFonts w:ascii="Calibri" w:hAnsi="Calibri"/>
          <w:b/>
          <w:color w:val="525866"/>
          <w:sz w:val="22"/>
        </w:rPr>
        <w:t xml:space="preserve">VRT read-through: </w:t>
      </w:r>
      <w:r>
        <w:rPr>
          <w:rFonts w:ascii="Calibri" w:hAnsi="Calibri"/>
          <w:color w:val="525866"/>
          <w:sz w:val="22"/>
        </w:rPr>
        <w:t>Oracle’s record RPO provides multi-year demand visibility that directly translates into VRT backlog durability.</w:t>
      </w:r>
    </w:p>
    <w:p>
      <w:pPr>
        <w:pStyle w:val="ListBullet"/>
        <w:ind w:left="360" w:hanging="360"/>
      </w:pPr>
      <w:r>
        <w:rPr>
          <w:rFonts w:ascii="Calibri" w:hAnsi="Calibri"/>
          <w:b/>
          <w:color w:val="525866"/>
          <w:sz w:val="22"/>
        </w:rPr>
        <w:t xml:space="preserve">Global GPU utilization at 97.5%: </w:t>
      </w:r>
      <w:r>
        <w:rPr>
          <w:rFonts w:ascii="Calibri" w:hAnsi="Calibri"/>
          <w:color w:val="525866"/>
          <w:sz w:val="22"/>
        </w:rPr>
        <w:t xml:space="preserve">Oracle’s near-full GPU utilization confirms demand is outpacing supply — driving urgency to build more capacity. </w:t>
      </w:r>
      <w:r>
        <w:rPr>
          <w:rFonts w:ascii="Calibri" w:hAnsi="Calibri"/>
          <w:b/>
          <w:color w:val="525866"/>
          <w:sz w:val="22"/>
        </w:rPr>
        <w:t xml:space="preserve">VRT read-through: </w:t>
      </w:r>
      <w:r>
        <w:rPr>
          <w:rFonts w:ascii="Calibri" w:hAnsi="Calibri"/>
          <w:color w:val="525866"/>
          <w:sz w:val="22"/>
        </w:rPr>
        <w:t>High utilization rates accelerate the pace of new data center construction — positive for VRT order intake.</w:t>
      </w:r>
    </w:p>
    <w:p>
      <w:pPr>
        <w:pStyle w:val="ListBullet"/>
        <w:ind w:left="360" w:hanging="360"/>
      </w:pPr>
      <w:r>
        <w:rPr>
          <w:rFonts w:ascii="Calibri" w:hAnsi="Calibri"/>
          <w:b/>
          <w:color w:val="525866"/>
          <w:sz w:val="22"/>
        </w:rPr>
        <w:t xml:space="preserve">ROIC in the high 20s at steady state for infrastructure business: </w:t>
      </w:r>
      <w:r>
        <w:rPr>
          <w:rFonts w:ascii="Calibri" w:hAnsi="Calibri"/>
          <w:color w:val="525866"/>
          <w:sz w:val="22"/>
        </w:rPr>
        <w:t xml:space="preserve">Oracle confirmed strong returns on data center infrastructure investment, with margins expected to improve rapidly as data centers reach full contractual revenue. </w:t>
      </w:r>
      <w:r>
        <w:rPr>
          <w:rFonts w:ascii="Calibri" w:hAnsi="Calibri"/>
          <w:b/>
          <w:color w:val="525866"/>
          <w:sz w:val="22"/>
        </w:rPr>
        <w:t xml:space="preserve">VRT read-through: </w:t>
      </w:r>
      <w:r>
        <w:rPr>
          <w:rFonts w:ascii="Calibri" w:hAnsi="Calibri"/>
          <w:color w:val="525866"/>
          <w:sz w:val="22"/>
        </w:rPr>
        <w:t>Healthy hyperscaler ROIC on data center investments validates the durability of the build-out — reduces risk of demand pullback.</w:t>
      </w:r>
    </w:p>
    <w:p>
      <w:pPr>
        <w:pStyle w:val="Heading2"/>
      </w:pPr>
      <w:r>
        <w:rPr>
          <w:rFonts w:ascii="Calibri" w:hAnsi="Calibri"/>
          <w:b/>
          <w:color w:val="3B4259"/>
          <w:sz w:val="28"/>
        </w:rPr>
        <w:t>Supermicro — Innovate CEO Keynote (June 1, 2026)</w:t>
      </w:r>
    </w:p>
    <w:p>
      <w:r>
        <w:rPr>
          <w:rFonts w:ascii="Calibri" w:hAnsi="Calibri"/>
          <w:b/>
          <w:color w:val="525866"/>
          <w:sz w:val="22"/>
        </w:rPr>
        <w:t xml:space="preserve">Relevance: </w:t>
      </w:r>
      <w:r>
        <w:rPr>
          <w:rFonts w:ascii="Calibri" w:hAnsi="Calibri"/>
          <w:color w:val="525866"/>
          <w:sz w:val="22"/>
        </w:rPr>
        <w:t>Supermicro is a major AI server OEM and systems integrator. SMCI’s demand commentary and product roadmap provide read-through for AI infrastructure demand trends in Q2 2026.</w:t>
      </w:r>
    </w:p>
    <w:p>
      <w:pPr>
        <w:pStyle w:val="ListBullet"/>
        <w:ind w:left="360" w:hanging="360"/>
      </w:pPr>
      <w:r>
        <w:rPr>
          <w:rFonts w:ascii="Calibri" w:hAnsi="Calibri"/>
          <w:b/>
          <w:color w:val="525866"/>
          <w:sz w:val="22"/>
        </w:rPr>
        <w:t xml:space="preserve">Revenue trajectory: $15B (2 years ago) → $22B (last year) → $40B (this year) → "much more than $40B" next year: </w:t>
      </w:r>
      <w:r>
        <w:rPr>
          <w:rFonts w:ascii="Calibri" w:hAnsi="Calibri"/>
          <w:color w:val="525866"/>
          <w:sz w:val="22"/>
        </w:rPr>
        <w:t xml:space="preserve">SMCI CEO outlined an aggressive revenue growth trajectory driven by AI infrastructure demand. </w:t>
      </w:r>
      <w:r>
        <w:rPr>
          <w:rFonts w:ascii="Calibri" w:hAnsi="Calibri"/>
          <w:b/>
          <w:color w:val="525866"/>
          <w:sz w:val="22"/>
        </w:rPr>
        <w:t xml:space="preserve">VRT read-through: </w:t>
      </w:r>
      <w:r>
        <w:rPr>
          <w:rFonts w:ascii="Calibri" w:hAnsi="Calibri"/>
          <w:color w:val="525866"/>
          <w:sz w:val="22"/>
        </w:rPr>
        <w:t>SMCI’s revenue doubling trajectory implies a corresponding doubling of power and cooling infrastructure requirements — directly positive for VRT.</w:t>
      </w:r>
    </w:p>
    <w:p>
      <w:pPr>
        <w:pStyle w:val="ListBullet"/>
        <w:ind w:left="360" w:hanging="360"/>
      </w:pPr>
      <w:r>
        <w:rPr>
          <w:rFonts w:ascii="Calibri" w:hAnsi="Calibri"/>
          <w:b/>
          <w:color w:val="525866"/>
          <w:sz w:val="22"/>
        </w:rPr>
        <w:t xml:space="preserve">Preparing for high-volume Vera Rubin MVL 72 production: </w:t>
      </w:r>
      <w:r>
        <w:rPr>
          <w:rFonts w:ascii="Calibri" w:hAnsi="Calibri"/>
          <w:color w:val="525866"/>
          <w:sz w:val="22"/>
        </w:rPr>
        <w:t xml:space="preserve">SMCI has already shipped samples to customers with positive feedback and is preparing for high-volume production. </w:t>
      </w:r>
      <w:r>
        <w:rPr>
          <w:rFonts w:ascii="Calibri" w:hAnsi="Calibri"/>
          <w:b/>
          <w:color w:val="525866"/>
          <w:sz w:val="22"/>
        </w:rPr>
        <w:t xml:space="preserve">VRT read-through: </w:t>
      </w:r>
      <w:r>
        <w:rPr>
          <w:rFonts w:ascii="Calibri" w:hAnsi="Calibri"/>
          <w:color w:val="525866"/>
          <w:sz w:val="22"/>
        </w:rPr>
        <w:t>Vera Rubin ramp at SMCI drives liquid cooling adoption (direct liquid cooling is the architecture for large GPU deployments) — positive for VRT’s CDU and liquid cooling products.</w:t>
      </w:r>
    </w:p>
    <w:p>
      <w:pPr>
        <w:pStyle w:val="ListBullet"/>
        <w:ind w:left="360" w:hanging="360"/>
      </w:pPr>
      <w:r>
        <w:rPr>
          <w:rFonts w:ascii="Calibri" w:hAnsi="Calibri"/>
          <w:b/>
          <w:color w:val="525866"/>
          <w:sz w:val="22"/>
        </w:rPr>
        <w:t xml:space="preserve">Global manufacturing capacity expanded to 6M sq ft (from 2–3M sq ft three years ago): </w:t>
      </w:r>
      <w:r>
        <w:rPr>
          <w:rFonts w:ascii="Calibri" w:hAnsi="Calibri"/>
          <w:color w:val="525866"/>
          <w:sz w:val="22"/>
        </w:rPr>
        <w:t xml:space="preserve">SMCI added 1.4M sq ft in Silicon Valley alone in the last three quarters. </w:t>
      </w:r>
      <w:r>
        <w:rPr>
          <w:rFonts w:ascii="Calibri" w:hAnsi="Calibri"/>
          <w:b/>
          <w:color w:val="525866"/>
          <w:sz w:val="22"/>
        </w:rPr>
        <w:t xml:space="preserve">VRT read-through: </w:t>
      </w:r>
      <w:r>
        <w:rPr>
          <w:rFonts w:ascii="Calibri" w:hAnsi="Calibri"/>
          <w:color w:val="525866"/>
          <w:sz w:val="22"/>
        </w:rPr>
        <w:t>SMCI’s capacity expansion validates the sustained demand environment — companies don’t build manufacturing capacity without demand visibility.</w:t>
      </w:r>
    </w:p>
    <w:p>
      <w:pPr>
        <w:pStyle w:val="ListBullet"/>
        <w:ind w:left="360" w:hanging="360"/>
      </w:pPr>
      <w:r>
        <w:rPr>
          <w:rFonts w:ascii="Calibri" w:hAnsi="Calibri"/>
          <w:b/>
          <w:color w:val="525866"/>
          <w:sz w:val="22"/>
        </w:rPr>
        <w:t xml:space="preserve">Gigawatt data centers being built in 3–4 months (vs. traditional 12–18 months): </w:t>
      </w:r>
      <w:r>
        <w:rPr>
          <w:rFonts w:ascii="Calibri" w:hAnsi="Calibri"/>
          <w:color w:val="525866"/>
          <w:sz w:val="22"/>
        </w:rPr>
        <w:t xml:space="preserve">SMCI’s building block solution approach enables dramatically faster data center deployment. </w:t>
      </w:r>
      <w:r>
        <w:rPr>
          <w:rFonts w:ascii="Calibri" w:hAnsi="Calibri"/>
          <w:b/>
          <w:color w:val="525866"/>
          <w:sz w:val="22"/>
        </w:rPr>
        <w:t xml:space="preserve">VRT read-through: </w:t>
      </w:r>
      <w:r>
        <w:rPr>
          <w:rFonts w:ascii="Calibri" w:hAnsi="Calibri"/>
          <w:color w:val="525866"/>
          <w:sz w:val="22"/>
        </w:rPr>
        <w:t>Faster deployment timelines increase the urgency of VRT’s power and cooling equipment delivery — supports VRT’s own SmartRun and OneCore prefabricated solution strategy.</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since Q1 earnings — all transactions are equity award grants (code A) or tax withholding shares (code F), which are routine compensation events. There is no insider signal, positive or negative, heading into Q2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 / 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Albertazzi Giordano</w:t>
            </w:r>
          </w:p>
        </w:tc>
        <w:tc>
          <w:tcPr>
            <w:tcW w:type="dxa" w:w="1440"/>
          </w:tcPr>
          <w:p>
            <w:r>
              <w:rPr>
                <w:rFonts w:ascii="Calibri" w:hAnsi="Calibri"/>
                <w:sz w:val="22"/>
              </w:rPr>
              <w:t>CEO &amp; Director</w:t>
            </w:r>
          </w:p>
        </w:tc>
        <w:tc>
          <w:tcPr>
            <w:tcW w:type="dxa" w:w="1440"/>
          </w:tcPr>
          <w:p>
            <w:r>
              <w:rPr>
                <w:rFonts w:ascii="Calibri" w:hAnsi="Calibri"/>
                <w:sz w:val="22"/>
              </w:rPr>
              <w:t>Equity Award Grant (A)</w:t>
            </w:r>
          </w:p>
        </w:tc>
        <w:tc>
          <w:tcPr>
            <w:tcW w:type="dxa" w:w="1440"/>
          </w:tcPr>
          <w:p>
            <w:r>
              <w:rPr>
                <w:rFonts w:ascii="Calibri" w:hAnsi="Calibri"/>
                <w:sz w:val="22"/>
              </w:rPr>
              <w:t>$9.53M</w:t>
            </w:r>
          </w:p>
        </w:tc>
        <w:tc>
          <w:tcPr>
            <w:tcW w:type="dxa" w:w="1440"/>
          </w:tcPr>
          <w:p>
            <w:r>
              <w:rPr>
                <w:rFonts w:ascii="Calibri" w:hAnsi="Calibri"/>
                <w:sz w:val="22"/>
              </w:rPr>
              <w:t>Jun 25, 2026</w:t>
            </w:r>
          </w:p>
        </w:tc>
        <w:tc>
          <w:tcPr>
            <w:tcW w:type="dxa" w:w="1440"/>
          </w:tcPr>
          <w:p>
            <w:r>
              <w:rPr>
                <w:rFonts w:ascii="Calibri" w:hAnsi="Calibri"/>
                <w:sz w:val="22"/>
              </w:rPr>
              <w:t>Routine equity compensation grant; not a market purchase</w:t>
            </w:r>
          </w:p>
        </w:tc>
      </w:tr>
      <w:tr>
        <w:tc>
          <w:tcPr>
            <w:tcW w:type="dxa" w:w="1440"/>
          </w:tcPr>
          <w:p>
            <w:r>
              <w:rPr>
                <w:rFonts w:ascii="Calibri" w:hAnsi="Calibri"/>
                <w:sz w:val="22"/>
              </w:rPr>
              <w:t>Armul Scott</w:t>
            </w:r>
          </w:p>
        </w:tc>
        <w:tc>
          <w:tcPr>
            <w:tcW w:type="dxa" w:w="1440"/>
          </w:tcPr>
          <w:p>
            <w:r>
              <w:rPr>
                <w:rFonts w:ascii="Calibri" w:hAnsi="Calibri"/>
                <w:sz w:val="22"/>
              </w:rPr>
              <w:t>Chief Product &amp; Technology Officer</w:t>
            </w:r>
          </w:p>
        </w:tc>
        <w:tc>
          <w:tcPr>
            <w:tcW w:type="dxa" w:w="1440"/>
          </w:tcPr>
          <w:p>
            <w:r>
              <w:rPr>
                <w:rFonts w:ascii="Calibri" w:hAnsi="Calibri"/>
                <w:sz w:val="22"/>
              </w:rPr>
              <w:t>Equity Award Grant (A)</w:t>
            </w:r>
          </w:p>
        </w:tc>
        <w:tc>
          <w:tcPr>
            <w:tcW w:type="dxa" w:w="1440"/>
          </w:tcPr>
          <w:p>
            <w:r>
              <w:rPr>
                <w:rFonts w:ascii="Calibri" w:hAnsi="Calibri"/>
                <w:sz w:val="22"/>
              </w:rPr>
              <w:t>$4.54M</w:t>
            </w:r>
          </w:p>
        </w:tc>
        <w:tc>
          <w:tcPr>
            <w:tcW w:type="dxa" w:w="1440"/>
          </w:tcPr>
          <w:p>
            <w:r>
              <w:rPr>
                <w:rFonts w:ascii="Calibri" w:hAnsi="Calibri"/>
                <w:sz w:val="22"/>
              </w:rPr>
              <w:t>Jun 25, 2026</w:t>
            </w:r>
          </w:p>
        </w:tc>
        <w:tc>
          <w:tcPr>
            <w:tcW w:type="dxa" w:w="1440"/>
          </w:tcPr>
          <w:p>
            <w:r>
              <w:rPr>
                <w:rFonts w:ascii="Calibri" w:hAnsi="Calibri"/>
                <w:sz w:val="22"/>
              </w:rPr>
              <w:t>Routine equity compensation grant</w:t>
            </w:r>
          </w:p>
        </w:tc>
      </w:tr>
      <w:tr>
        <w:tc>
          <w:tcPr>
            <w:tcW w:type="dxa" w:w="1440"/>
          </w:tcPr>
          <w:p>
            <w:r>
              <w:rPr>
                <w:rFonts w:ascii="Calibri" w:hAnsi="Calibri"/>
                <w:sz w:val="22"/>
              </w:rPr>
              <w:t>Chamberlin Craig</w:t>
            </w:r>
          </w:p>
        </w:tc>
        <w:tc>
          <w:tcPr>
            <w:tcW w:type="dxa" w:w="1440"/>
          </w:tcPr>
          <w:p>
            <w:r>
              <w:rPr>
                <w:rFonts w:ascii="Calibri" w:hAnsi="Calibri"/>
                <w:sz w:val="22"/>
              </w:rPr>
              <w:t>Chief Financial Officer</w:t>
            </w:r>
          </w:p>
        </w:tc>
        <w:tc>
          <w:tcPr>
            <w:tcW w:type="dxa" w:w="1440"/>
          </w:tcPr>
          <w:p>
            <w:r>
              <w:rPr>
                <w:rFonts w:ascii="Calibri" w:hAnsi="Calibri"/>
                <w:sz w:val="22"/>
              </w:rPr>
              <w:t>Equity Award Grant (A)</w:t>
            </w:r>
          </w:p>
        </w:tc>
        <w:tc>
          <w:tcPr>
            <w:tcW w:type="dxa" w:w="1440"/>
          </w:tcPr>
          <w:p>
            <w:r>
              <w:rPr>
                <w:rFonts w:ascii="Calibri" w:hAnsi="Calibri"/>
                <w:sz w:val="22"/>
              </w:rPr>
              <w:t>$1.12M</w:t>
            </w:r>
          </w:p>
        </w:tc>
        <w:tc>
          <w:tcPr>
            <w:tcW w:type="dxa" w:w="1440"/>
          </w:tcPr>
          <w:p>
            <w:r>
              <w:rPr>
                <w:rFonts w:ascii="Calibri" w:hAnsi="Calibri"/>
                <w:sz w:val="22"/>
              </w:rPr>
              <w:t>Jun 25, 2026</w:t>
            </w:r>
          </w:p>
        </w:tc>
        <w:tc>
          <w:tcPr>
            <w:tcW w:type="dxa" w:w="1440"/>
          </w:tcPr>
          <w:p>
            <w:r>
              <w:rPr>
                <w:rFonts w:ascii="Calibri" w:hAnsi="Calibri"/>
                <w:sz w:val="22"/>
              </w:rPr>
              <w:t>Routine equity compensation grant</w:t>
            </w:r>
          </w:p>
        </w:tc>
      </w:tr>
      <w:tr>
        <w:tc>
          <w:tcPr>
            <w:tcW w:type="dxa" w:w="1440"/>
          </w:tcPr>
          <w:p>
            <w:r>
              <w:rPr>
                <w:rFonts w:ascii="Calibri" w:hAnsi="Calibri"/>
                <w:sz w:val="22"/>
              </w:rPr>
              <w:t>Johnson Eric M.</w:t>
            </w:r>
          </w:p>
        </w:tc>
        <w:tc>
          <w:tcPr>
            <w:tcW w:type="dxa" w:w="1440"/>
          </w:tcPr>
          <w:p>
            <w:r>
              <w:rPr>
                <w:rFonts w:ascii="Calibri" w:hAnsi="Calibri"/>
                <w:sz w:val="22"/>
              </w:rPr>
              <w:t>Chief Accounting Officer</w:t>
            </w:r>
          </w:p>
        </w:tc>
        <w:tc>
          <w:tcPr>
            <w:tcW w:type="dxa" w:w="1440"/>
          </w:tcPr>
          <w:p>
            <w:r>
              <w:rPr>
                <w:rFonts w:ascii="Calibri" w:hAnsi="Calibri"/>
                <w:sz w:val="22"/>
              </w:rPr>
              <w:t>Equity Award Grant (A)</w:t>
            </w:r>
          </w:p>
        </w:tc>
        <w:tc>
          <w:tcPr>
            <w:tcW w:type="dxa" w:w="1440"/>
          </w:tcPr>
          <w:p>
            <w:r>
              <w:rPr>
                <w:rFonts w:ascii="Calibri" w:hAnsi="Calibri"/>
                <w:sz w:val="22"/>
              </w:rPr>
              <w:t>$0.38M</w:t>
            </w:r>
          </w:p>
        </w:tc>
        <w:tc>
          <w:tcPr>
            <w:tcW w:type="dxa" w:w="1440"/>
          </w:tcPr>
          <w:p>
            <w:r>
              <w:rPr>
                <w:rFonts w:ascii="Calibri" w:hAnsi="Calibri"/>
                <w:sz w:val="22"/>
              </w:rPr>
              <w:t>Jun 25, 2026</w:t>
            </w:r>
          </w:p>
        </w:tc>
        <w:tc>
          <w:tcPr>
            <w:tcW w:type="dxa" w:w="1440"/>
          </w:tcPr>
          <w:p>
            <w:r>
              <w:rPr>
                <w:rFonts w:ascii="Calibri" w:hAnsi="Calibri"/>
                <w:sz w:val="22"/>
              </w:rPr>
              <w:t>Routine equity compensation grant; 10b5-1 plan in place</w:t>
            </w:r>
          </w:p>
        </w:tc>
      </w:tr>
      <w:tr>
        <w:tc>
          <w:tcPr>
            <w:tcW w:type="dxa" w:w="1440"/>
          </w:tcPr>
          <w:p>
            <w:r>
              <w:rPr>
                <w:rFonts w:ascii="Calibri" w:hAnsi="Calibri"/>
                <w:sz w:val="22"/>
              </w:rPr>
              <w:t>Karlborg Anders</w:t>
            </w:r>
          </w:p>
        </w:tc>
        <w:tc>
          <w:tcPr>
            <w:tcW w:type="dxa" w:w="1440"/>
          </w:tcPr>
          <w:p>
            <w:r>
              <w:rPr>
                <w:rFonts w:ascii="Calibri" w:hAnsi="Calibri"/>
                <w:sz w:val="22"/>
              </w:rPr>
              <w:t>EVP, Manufacturing, Logistics &amp; OpEx</w:t>
            </w:r>
          </w:p>
        </w:tc>
        <w:tc>
          <w:tcPr>
            <w:tcW w:type="dxa" w:w="1440"/>
          </w:tcPr>
          <w:p>
            <w:r>
              <w:rPr>
                <w:rFonts w:ascii="Calibri" w:hAnsi="Calibri"/>
                <w:sz w:val="22"/>
              </w:rPr>
              <w:t>Equity Award Grant (A)</w:t>
            </w:r>
          </w:p>
        </w:tc>
        <w:tc>
          <w:tcPr>
            <w:tcW w:type="dxa" w:w="1440"/>
          </w:tcPr>
          <w:p>
            <w:r>
              <w:rPr>
                <w:rFonts w:ascii="Calibri" w:hAnsi="Calibri"/>
                <w:sz w:val="22"/>
              </w:rPr>
              <w:t>$3.55M</w:t>
            </w:r>
          </w:p>
        </w:tc>
        <w:tc>
          <w:tcPr>
            <w:tcW w:type="dxa" w:w="1440"/>
          </w:tcPr>
          <w:p>
            <w:r>
              <w:rPr>
                <w:rFonts w:ascii="Calibri" w:hAnsi="Calibri"/>
                <w:sz w:val="22"/>
              </w:rPr>
              <w:t>Jun 25, 2026</w:t>
            </w:r>
          </w:p>
        </w:tc>
        <w:tc>
          <w:tcPr>
            <w:tcW w:type="dxa" w:w="1440"/>
          </w:tcPr>
          <w:p>
            <w:r>
              <w:rPr>
                <w:rFonts w:ascii="Calibri" w:hAnsi="Calibri"/>
                <w:sz w:val="22"/>
              </w:rPr>
              <w:t>Routine equity compensation grant</w:t>
            </w:r>
          </w:p>
        </w:tc>
      </w:tr>
      <w:tr>
        <w:tc>
          <w:tcPr>
            <w:tcW w:type="dxa" w:w="1440"/>
          </w:tcPr>
          <w:p>
            <w:r>
              <w:rPr>
                <w:rFonts w:ascii="Calibri" w:hAnsi="Calibri"/>
                <w:sz w:val="22"/>
              </w:rPr>
              <w:t>Poncheri Frank</w:t>
            </w:r>
          </w:p>
        </w:tc>
        <w:tc>
          <w:tcPr>
            <w:tcW w:type="dxa" w:w="1440"/>
          </w:tcPr>
          <w:p>
            <w:r>
              <w:rPr>
                <w:rFonts w:ascii="Calibri" w:hAnsi="Calibri"/>
                <w:sz w:val="22"/>
              </w:rPr>
              <w:t>Chief Human Resources Officer</w:t>
            </w:r>
          </w:p>
        </w:tc>
        <w:tc>
          <w:tcPr>
            <w:tcW w:type="dxa" w:w="1440"/>
          </w:tcPr>
          <w:p>
            <w:r>
              <w:rPr>
                <w:rFonts w:ascii="Calibri" w:hAnsi="Calibri"/>
                <w:sz w:val="22"/>
              </w:rPr>
              <w:t>Equity Award Grant (A)</w:t>
            </w:r>
          </w:p>
        </w:tc>
        <w:tc>
          <w:tcPr>
            <w:tcW w:type="dxa" w:w="1440"/>
          </w:tcPr>
          <w:p>
            <w:r>
              <w:rPr>
                <w:rFonts w:ascii="Calibri" w:hAnsi="Calibri"/>
                <w:sz w:val="22"/>
              </w:rPr>
              <w:t>$2.74M</w:t>
            </w:r>
          </w:p>
        </w:tc>
        <w:tc>
          <w:tcPr>
            <w:tcW w:type="dxa" w:w="1440"/>
          </w:tcPr>
          <w:p>
            <w:r>
              <w:rPr>
                <w:rFonts w:ascii="Calibri" w:hAnsi="Calibri"/>
                <w:sz w:val="22"/>
              </w:rPr>
              <w:t>Jun 25, 2026</w:t>
            </w:r>
          </w:p>
        </w:tc>
        <w:tc>
          <w:tcPr>
            <w:tcW w:type="dxa" w:w="1440"/>
          </w:tcPr>
          <w:p>
            <w:r>
              <w:rPr>
                <w:rFonts w:ascii="Calibri" w:hAnsi="Calibri"/>
                <w:sz w:val="22"/>
              </w:rPr>
              <w:t>Routine equity compensation grant; 10b5-1 plan in place</w:t>
            </w:r>
          </w:p>
        </w:tc>
      </w:tr>
      <w:tr>
        <w:tc>
          <w:tcPr>
            <w:tcW w:type="dxa" w:w="1440"/>
          </w:tcPr>
          <w:p>
            <w:r>
              <w:rPr>
                <w:rFonts w:ascii="Calibri" w:hAnsi="Calibri"/>
                <w:sz w:val="22"/>
              </w:rPr>
              <w:t>Ryan Paul</w:t>
            </w:r>
          </w:p>
        </w:tc>
        <w:tc>
          <w:tcPr>
            <w:tcW w:type="dxa" w:w="1440"/>
          </w:tcPr>
          <w:p>
            <w:r>
              <w:rPr>
                <w:rFonts w:ascii="Calibri" w:hAnsi="Calibri"/>
                <w:sz w:val="22"/>
              </w:rPr>
              <w:t>President, EMEA</w:t>
            </w:r>
          </w:p>
        </w:tc>
        <w:tc>
          <w:tcPr>
            <w:tcW w:type="dxa" w:w="1440"/>
          </w:tcPr>
          <w:p>
            <w:r>
              <w:rPr>
                <w:rFonts w:ascii="Calibri" w:hAnsi="Calibri"/>
                <w:sz w:val="22"/>
              </w:rPr>
              <w:t>Equity Award Grant (A)</w:t>
            </w:r>
          </w:p>
        </w:tc>
        <w:tc>
          <w:tcPr>
            <w:tcW w:type="dxa" w:w="1440"/>
          </w:tcPr>
          <w:p>
            <w:r>
              <w:rPr>
                <w:rFonts w:ascii="Calibri" w:hAnsi="Calibri"/>
                <w:sz w:val="22"/>
              </w:rPr>
              <w:t>$2.41M</w:t>
            </w:r>
          </w:p>
        </w:tc>
        <w:tc>
          <w:tcPr>
            <w:tcW w:type="dxa" w:w="1440"/>
          </w:tcPr>
          <w:p>
            <w:r>
              <w:rPr>
                <w:rFonts w:ascii="Calibri" w:hAnsi="Calibri"/>
                <w:sz w:val="22"/>
              </w:rPr>
              <w:t>Jun 25, 2026</w:t>
            </w:r>
          </w:p>
        </w:tc>
        <w:tc>
          <w:tcPr>
            <w:tcW w:type="dxa" w:w="1440"/>
          </w:tcPr>
          <w:p>
            <w:r>
              <w:rPr>
                <w:rFonts w:ascii="Calibri" w:hAnsi="Calibri"/>
                <w:sz w:val="22"/>
              </w:rPr>
              <w:t>Routine equity compensation grant</w:t>
            </w:r>
          </w:p>
        </w:tc>
      </w:tr>
      <w:tr>
        <w:tc>
          <w:tcPr>
            <w:tcW w:type="dxa" w:w="1440"/>
          </w:tcPr>
          <w:p>
            <w:r>
              <w:rPr>
                <w:rFonts w:ascii="Calibri" w:hAnsi="Calibri"/>
                <w:sz w:val="22"/>
              </w:rPr>
              <w:t>Sanghi Anand</w:t>
            </w:r>
          </w:p>
        </w:tc>
        <w:tc>
          <w:tcPr>
            <w:tcW w:type="dxa" w:w="1440"/>
          </w:tcPr>
          <w:p>
            <w:r>
              <w:rPr>
                <w:rFonts w:ascii="Calibri" w:hAnsi="Calibri"/>
                <w:sz w:val="22"/>
              </w:rPr>
              <w:t>President, Americas</w:t>
            </w:r>
          </w:p>
        </w:tc>
        <w:tc>
          <w:tcPr>
            <w:tcW w:type="dxa" w:w="1440"/>
          </w:tcPr>
          <w:p>
            <w:r>
              <w:rPr>
                <w:rFonts w:ascii="Calibri" w:hAnsi="Calibri"/>
                <w:sz w:val="22"/>
              </w:rPr>
              <w:t>Equity Award Grant (A)</w:t>
            </w:r>
          </w:p>
        </w:tc>
        <w:tc>
          <w:tcPr>
            <w:tcW w:type="dxa" w:w="1440"/>
          </w:tcPr>
          <w:p>
            <w:r>
              <w:rPr>
                <w:rFonts w:ascii="Calibri" w:hAnsi="Calibri"/>
                <w:sz w:val="22"/>
              </w:rPr>
              <w:t>$3.38M</w:t>
            </w:r>
          </w:p>
        </w:tc>
        <w:tc>
          <w:tcPr>
            <w:tcW w:type="dxa" w:w="1440"/>
          </w:tcPr>
          <w:p>
            <w:r>
              <w:rPr>
                <w:rFonts w:ascii="Calibri" w:hAnsi="Calibri"/>
                <w:sz w:val="22"/>
              </w:rPr>
              <w:t>Jun 25, 2026</w:t>
            </w:r>
          </w:p>
        </w:tc>
        <w:tc>
          <w:tcPr>
            <w:tcW w:type="dxa" w:w="1440"/>
          </w:tcPr>
          <w:p>
            <w:r>
              <w:rPr>
                <w:rFonts w:ascii="Calibri" w:hAnsi="Calibri"/>
                <w:sz w:val="22"/>
              </w:rPr>
              <w:t>Routine equity compensation grant</w:t>
            </w:r>
          </w:p>
        </w:tc>
      </w:tr>
      <w:tr>
        <w:tc>
          <w:tcPr>
            <w:tcW w:type="dxa" w:w="1440"/>
          </w:tcPr>
          <w:p>
            <w:r>
              <w:rPr>
                <w:rFonts w:ascii="Calibri" w:hAnsi="Calibri"/>
                <w:sz w:val="22"/>
              </w:rPr>
              <w:t>Shen Wei</w:t>
            </w:r>
          </w:p>
        </w:tc>
        <w:tc>
          <w:tcPr>
            <w:tcW w:type="dxa" w:w="1440"/>
          </w:tcPr>
          <w:p>
            <w:r>
              <w:rPr>
                <w:rFonts w:ascii="Calibri" w:hAnsi="Calibri"/>
                <w:sz w:val="22"/>
              </w:rPr>
              <w:t>President, Greater China</w:t>
            </w:r>
          </w:p>
        </w:tc>
        <w:tc>
          <w:tcPr>
            <w:tcW w:type="dxa" w:w="1440"/>
          </w:tcPr>
          <w:p>
            <w:r>
              <w:rPr>
                <w:rFonts w:ascii="Calibri" w:hAnsi="Calibri"/>
                <w:sz w:val="22"/>
              </w:rPr>
              <w:t>Equity Award Grant (A)</w:t>
            </w:r>
          </w:p>
        </w:tc>
        <w:tc>
          <w:tcPr>
            <w:tcW w:type="dxa" w:w="1440"/>
          </w:tcPr>
          <w:p>
            <w:r>
              <w:rPr>
                <w:rFonts w:ascii="Calibri" w:hAnsi="Calibri"/>
                <w:sz w:val="22"/>
              </w:rPr>
              <w:t>$0.42M</w:t>
            </w:r>
          </w:p>
        </w:tc>
        <w:tc>
          <w:tcPr>
            <w:tcW w:type="dxa" w:w="1440"/>
          </w:tcPr>
          <w:p>
            <w:r>
              <w:rPr>
                <w:rFonts w:ascii="Calibri" w:hAnsi="Calibri"/>
                <w:sz w:val="22"/>
              </w:rPr>
              <w:t>Jun 25, 2026</w:t>
            </w:r>
          </w:p>
        </w:tc>
        <w:tc>
          <w:tcPr>
            <w:tcW w:type="dxa" w:w="1440"/>
          </w:tcPr>
          <w:p>
            <w:r>
              <w:rPr>
                <w:rFonts w:ascii="Calibri" w:hAnsi="Calibri"/>
                <w:sz w:val="22"/>
              </w:rPr>
              <w:t>Routine equity compensation grant; 10b5-1 plan in place</w:t>
            </w:r>
          </w:p>
        </w:tc>
      </w:tr>
      <w:tr>
        <w:tc>
          <w:tcPr>
            <w:tcW w:type="dxa" w:w="1440"/>
          </w:tcPr>
          <w:p>
            <w:r>
              <w:rPr>
                <w:rFonts w:ascii="Calibri" w:hAnsi="Calibri"/>
                <w:sz w:val="22"/>
              </w:rPr>
              <w:t>Mikkilineni Krishna</w:t>
            </w:r>
          </w:p>
        </w:tc>
        <w:tc>
          <w:tcPr>
            <w:tcW w:type="dxa" w:w="1440"/>
          </w:tcPr>
          <w:p>
            <w:r>
              <w:rPr>
                <w:rFonts w:ascii="Calibri" w:hAnsi="Calibri"/>
                <w:sz w:val="22"/>
              </w:rPr>
              <w:t>Director</w:t>
            </w:r>
          </w:p>
        </w:tc>
        <w:tc>
          <w:tcPr>
            <w:tcW w:type="dxa" w:w="1440"/>
          </w:tcPr>
          <w:p>
            <w:r>
              <w:rPr>
                <w:rFonts w:ascii="Calibri" w:hAnsi="Calibri"/>
                <w:sz w:val="22"/>
              </w:rPr>
              <w:t>Stock Option Grant (A)</w:t>
            </w:r>
          </w:p>
        </w:tc>
        <w:tc>
          <w:tcPr>
            <w:tcW w:type="dxa" w:w="1440"/>
          </w:tcPr>
          <w:p>
            <w:r>
              <w:rPr>
                <w:rFonts w:ascii="Calibri" w:hAnsi="Calibri"/>
                <w:sz w:val="22"/>
              </w:rPr>
              <w:t>3,076 options</w:t>
            </w:r>
          </w:p>
        </w:tc>
        <w:tc>
          <w:tcPr>
            <w:tcW w:type="dxa" w:w="1440"/>
          </w:tcPr>
          <w:p>
            <w:r>
              <w:rPr>
                <w:rFonts w:ascii="Calibri" w:hAnsi="Calibri"/>
                <w:sz w:val="22"/>
              </w:rPr>
              <w:t>Jun 17, 2026</w:t>
            </w:r>
          </w:p>
        </w:tc>
        <w:tc>
          <w:tcPr>
            <w:tcW w:type="dxa" w:w="1440"/>
          </w:tcPr>
          <w:p>
            <w:r>
              <w:rPr>
                <w:rFonts w:ascii="Calibri" w:hAnsi="Calibri"/>
                <w:sz w:val="22"/>
              </w:rPr>
              <w:t>Routine director stock option grant</w:t>
            </w:r>
          </w:p>
        </w:tc>
      </w:tr>
      <w:tr>
        <w:tc>
          <w:tcPr>
            <w:tcW w:type="dxa" w:w="1440"/>
          </w:tcPr>
          <w:p>
            <w:r>
              <w:rPr>
                <w:rFonts w:ascii="Calibri" w:hAnsi="Calibri"/>
                <w:sz w:val="22"/>
              </w:rPr>
              <w:t>Armul Scott</w:t>
            </w:r>
          </w:p>
        </w:tc>
        <w:tc>
          <w:tcPr>
            <w:tcW w:type="dxa" w:w="1440"/>
          </w:tcPr>
          <w:p>
            <w:r>
              <w:rPr>
                <w:rFonts w:ascii="Calibri" w:hAnsi="Calibri"/>
                <w:sz w:val="22"/>
              </w:rPr>
              <w:t>Chief Product &amp; Technology Officer</w:t>
            </w:r>
          </w:p>
        </w:tc>
        <w:tc>
          <w:tcPr>
            <w:tcW w:type="dxa" w:w="1440"/>
          </w:tcPr>
          <w:p>
            <w:r>
              <w:rPr>
                <w:rFonts w:ascii="Calibri" w:hAnsi="Calibri"/>
                <w:sz w:val="22"/>
              </w:rPr>
              <w:t>Tax Withholding (F)</w:t>
            </w:r>
          </w:p>
        </w:tc>
        <w:tc>
          <w:tcPr>
            <w:tcW w:type="dxa" w:w="1440"/>
          </w:tcPr>
          <w:p>
            <w:r>
              <w:rPr>
                <w:rFonts w:ascii="Calibri" w:hAnsi="Calibri"/>
                <w:sz w:val="22"/>
              </w:rPr>
              <w:t>511 shares</w:t>
            </w:r>
          </w:p>
        </w:tc>
        <w:tc>
          <w:tcPr>
            <w:tcW w:type="dxa" w:w="1440"/>
          </w:tcPr>
          <w:p>
            <w:r>
              <w:rPr>
                <w:rFonts w:ascii="Calibri" w:hAnsi="Calibri"/>
                <w:sz w:val="22"/>
              </w:rPr>
              <w:t>May 4, 2026</w:t>
            </w:r>
          </w:p>
        </w:tc>
        <w:tc>
          <w:tcPr>
            <w:tcW w:type="dxa" w:w="1440"/>
          </w:tcPr>
          <w:p>
            <w:r>
              <w:rPr>
                <w:rFonts w:ascii="Calibri" w:hAnsi="Calibri"/>
                <w:sz w:val="22"/>
              </w:rPr>
              <w:t>Shares withheld for tax obligation on vesting; not a discretionary sale; 10b5-1 plan in place</w:t>
            </w:r>
          </w:p>
        </w:tc>
      </w:tr>
      <w:tr>
        <w:tc>
          <w:tcPr>
            <w:tcW w:type="dxa" w:w="1440"/>
          </w:tcPr>
          <w:p>
            <w:r>
              <w:rPr>
                <w:rFonts w:ascii="Calibri" w:hAnsi="Calibri"/>
                <w:sz w:val="22"/>
              </w:rPr>
              <w:t>He Ying Frieda</w:t>
            </w:r>
          </w:p>
        </w:tc>
        <w:tc>
          <w:tcPr>
            <w:tcW w:type="dxa" w:w="1440"/>
          </w:tcPr>
          <w:p>
            <w:r>
              <w:rPr>
                <w:rFonts w:ascii="Calibri" w:hAnsi="Calibri"/>
                <w:sz w:val="22"/>
              </w:rPr>
              <w:t>Chief Procurement Officer</w:t>
            </w:r>
          </w:p>
        </w:tc>
        <w:tc>
          <w:tcPr>
            <w:tcW w:type="dxa" w:w="1440"/>
          </w:tcPr>
          <w:p>
            <w:r>
              <w:rPr>
                <w:rFonts w:ascii="Calibri" w:hAnsi="Calibri"/>
                <w:sz w:val="22"/>
              </w:rPr>
              <w:t>Stock Option Grant (A)</w:t>
            </w:r>
          </w:p>
        </w:tc>
        <w:tc>
          <w:tcPr>
            <w:tcW w:type="dxa" w:w="1440"/>
          </w:tcPr>
          <w:p>
            <w:r>
              <w:rPr>
                <w:rFonts w:ascii="Calibri" w:hAnsi="Calibri"/>
                <w:sz w:val="22"/>
              </w:rPr>
              <w:t>3,941 options</w:t>
            </w:r>
          </w:p>
        </w:tc>
        <w:tc>
          <w:tcPr>
            <w:tcW w:type="dxa" w:w="1440"/>
          </w:tcPr>
          <w:p>
            <w:r>
              <w:rPr>
                <w:rFonts w:ascii="Calibri" w:hAnsi="Calibri"/>
                <w:sz w:val="22"/>
              </w:rPr>
              <w:t>May 5, 2026</w:t>
            </w:r>
          </w:p>
        </w:tc>
        <w:tc>
          <w:tcPr>
            <w:tcW w:type="dxa" w:w="1440"/>
          </w:tcPr>
          <w:p>
            <w:r>
              <w:rPr>
                <w:rFonts w:ascii="Calibri" w:hAnsi="Calibri"/>
                <w:sz w:val="22"/>
              </w:rPr>
              <w:t>New hire / role grant; routine</w:t>
            </w:r>
          </w:p>
        </w:tc>
      </w:tr>
      <w:tr>
        <w:tc>
          <w:tcPr>
            <w:tcW w:type="dxa" w:w="1440"/>
          </w:tcPr>
          <w:p>
            <w:r>
              <w:rPr>
                <w:rFonts w:ascii="Calibri" w:hAnsi="Calibri"/>
                <w:sz w:val="22"/>
              </w:rPr>
              <w:t>Karlborg Anders</w:t>
            </w:r>
          </w:p>
        </w:tc>
        <w:tc>
          <w:tcPr>
            <w:tcW w:type="dxa" w:w="1440"/>
          </w:tcPr>
          <w:p>
            <w:r>
              <w:rPr>
                <w:rFonts w:ascii="Calibri" w:hAnsi="Calibri"/>
                <w:sz w:val="22"/>
              </w:rPr>
              <w:t>EVP, Manufacturing, Logistics &amp; OpEx</w:t>
            </w:r>
          </w:p>
        </w:tc>
        <w:tc>
          <w:tcPr>
            <w:tcW w:type="dxa" w:w="1440"/>
          </w:tcPr>
          <w:p>
            <w:r>
              <w:rPr>
                <w:rFonts w:ascii="Calibri" w:hAnsi="Calibri"/>
                <w:sz w:val="22"/>
              </w:rPr>
              <w:t>Tax Withholding (F)</w:t>
            </w:r>
          </w:p>
        </w:tc>
        <w:tc>
          <w:tcPr>
            <w:tcW w:type="dxa" w:w="1440"/>
          </w:tcPr>
          <w:p>
            <w:r>
              <w:rPr>
                <w:rFonts w:ascii="Calibri" w:hAnsi="Calibri"/>
                <w:sz w:val="22"/>
              </w:rPr>
              <w:t>144 shares</w:t>
            </w:r>
          </w:p>
        </w:tc>
        <w:tc>
          <w:tcPr>
            <w:tcW w:type="dxa" w:w="1440"/>
          </w:tcPr>
          <w:p>
            <w:r>
              <w:rPr>
                <w:rFonts w:ascii="Calibri" w:hAnsi="Calibri"/>
                <w:sz w:val="22"/>
              </w:rPr>
              <w:t>May 4, 2026</w:t>
            </w:r>
          </w:p>
        </w:tc>
        <w:tc>
          <w:tcPr>
            <w:tcW w:type="dxa" w:w="1440"/>
          </w:tcPr>
          <w:p>
            <w:r>
              <w:rPr>
                <w:rFonts w:ascii="Calibri" w:hAnsi="Calibri"/>
                <w:sz w:val="22"/>
              </w:rPr>
              <w:t>Shares withheld for tax obligation on vesting; not a discretionary sale</w:t>
            </w:r>
          </w:p>
        </w:tc>
      </w:tr>
      <w:tr>
        <w:tc>
          <w:tcPr>
            <w:tcW w:type="dxa" w:w="1440"/>
          </w:tcPr>
          <w:p>
            <w:r>
              <w:rPr>
                <w:rFonts w:ascii="Calibri" w:hAnsi="Calibri"/>
                <w:sz w:val="22"/>
              </w:rPr>
              <w:t>Ryan Paul</w:t>
            </w:r>
          </w:p>
        </w:tc>
        <w:tc>
          <w:tcPr>
            <w:tcW w:type="dxa" w:w="1440"/>
          </w:tcPr>
          <w:p>
            <w:r>
              <w:rPr>
                <w:rFonts w:ascii="Calibri" w:hAnsi="Calibri"/>
                <w:sz w:val="22"/>
              </w:rPr>
              <w:t>President, EMEA</w:t>
            </w:r>
          </w:p>
        </w:tc>
        <w:tc>
          <w:tcPr>
            <w:tcW w:type="dxa" w:w="1440"/>
          </w:tcPr>
          <w:p>
            <w:r>
              <w:rPr>
                <w:rFonts w:ascii="Calibri" w:hAnsi="Calibri"/>
                <w:sz w:val="22"/>
              </w:rPr>
              <w:t>Tax Withholding (F)</w:t>
            </w:r>
          </w:p>
        </w:tc>
        <w:tc>
          <w:tcPr>
            <w:tcW w:type="dxa" w:w="1440"/>
          </w:tcPr>
          <w:p>
            <w:r>
              <w:rPr>
                <w:rFonts w:ascii="Calibri" w:hAnsi="Calibri"/>
                <w:sz w:val="22"/>
              </w:rPr>
              <w:t>735 shares</w:t>
            </w:r>
          </w:p>
        </w:tc>
        <w:tc>
          <w:tcPr>
            <w:tcW w:type="dxa" w:w="1440"/>
          </w:tcPr>
          <w:p>
            <w:r>
              <w:rPr>
                <w:rFonts w:ascii="Calibri" w:hAnsi="Calibri"/>
                <w:sz w:val="22"/>
              </w:rPr>
              <w:t>May 4, 2026</w:t>
            </w:r>
          </w:p>
        </w:tc>
        <w:tc>
          <w:tcPr>
            <w:tcW w:type="dxa" w:w="1440"/>
          </w:tcPr>
          <w:p>
            <w:r>
              <w:rPr>
                <w:rFonts w:ascii="Calibri" w:hAnsi="Calibri"/>
                <w:sz w:val="22"/>
              </w:rPr>
              <w:t>Shares withheld for tax obligation on vesting; not a discretionary sale</w:t>
            </w:r>
          </w:p>
        </w:tc>
      </w:tr>
    </w:tbl>
    <w:p>
      <w:r>
        <w:rPr>
          <w:rFonts w:ascii="Calibri" w:hAnsi="Calibri"/>
          <w:i/>
          <w:color w:val="525866"/>
          <w:sz w:val="22"/>
        </w:rPr>
        <w:t>Source: SEC Form 4 filings (Insider Transaction Data). Transaction codes: A = equity award/grant (not a market purchase); F = shares withheld for tax on vesting (not a discretionary sale). No open-market buys (code P) or discretionary open-market sells (code S) were filed in the period April 22 – July 28, 2026. The absence of open-market activity is neutral — no insider is signaling conviction in either direction ahead of the Q2 print.</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