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Vertiv Holdings Co (VRT)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VRT</w:t>
            </w:r>
          </w:p>
        </w:tc>
        <w:tc>
          <w:tcPr>
            <w:tcW w:type="dxa" w:w="2160"/>
          </w:tcPr>
          <w:p>
            <w:r>
              <w:rPr>
                <w:rFonts w:ascii="Calibri" w:hAnsi="Calibri"/>
                <w:b/>
                <w:sz w:val="22"/>
              </w:rPr>
              <w:t>Earnings Date</w:t>
            </w:r>
          </w:p>
        </w:tc>
        <w:tc>
          <w:tcPr>
            <w:tcW w:type="dxa" w:w="2160"/>
          </w:tcPr>
          <w:p>
            <w:r>
              <w:rPr>
                <w:rFonts w:ascii="Calibri" w:hAnsi="Calibri"/>
                <w:sz w:val="22"/>
              </w:rPr>
              <w:t>July 29, 2026 (11:00 AM ET)</w:t>
            </w:r>
          </w:p>
        </w:tc>
      </w:tr>
      <w:tr>
        <w:tc>
          <w:tcPr>
            <w:tcW w:type="dxa" w:w="2160"/>
          </w:tcPr>
          <w:p>
            <w:r>
              <w:rPr>
                <w:rFonts w:ascii="Calibri" w:hAnsi="Calibri"/>
                <w:b/>
                <w:sz w:val="22"/>
              </w:rPr>
              <w:t>Exchange</w:t>
            </w:r>
          </w:p>
        </w:tc>
        <w:tc>
          <w:tcPr>
            <w:tcW w:type="dxa" w:w="2160"/>
          </w:tcPr>
          <w:p>
            <w:r>
              <w:rPr>
                <w:rFonts w:ascii="Calibri" w:hAnsi="Calibri"/>
                <w:sz w:val="22"/>
              </w:rPr>
              <w:t>NYSE</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Last Close</w:t>
            </w:r>
          </w:p>
        </w:tc>
        <w:tc>
          <w:tcPr>
            <w:tcW w:type="dxa" w:w="2160"/>
          </w:tcPr>
          <w:p>
            <w:r>
              <w:rPr>
                <w:rFonts w:ascii="Calibri" w:hAnsi="Calibri"/>
                <w:sz w:val="22"/>
              </w:rPr>
              <w:t>$287.60 (July 27, 2026)</w:t>
            </w:r>
          </w:p>
        </w:tc>
      </w:tr>
    </w:tbl>
    <w:p>
      <w:r>
        <w:rPr>
          <w:rFonts w:ascii="Calibri" w:hAnsi="Calibri"/>
          <w:color w:val="525866"/>
          <w:sz w:val="22"/>
        </w:rPr>
        <w:t>Sources: Visible Alpha consensus and actuals data. Q2 2026 guidance from VRT Q1 2026 earnings release (April 22, 2026). Note: Q1 2026 FCF actual taken from company-reported earnings release; VA has not yet ingested this period.</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$1.17</w:t>
            </w:r>
          </w:p>
        </w:tc>
        <w:tc>
          <w:tcPr>
            <w:tcW w:type="dxa" w:w="1440"/>
          </w:tcPr>
          <w:p>
            <w:r>
              <w:rPr>
                <w:rFonts w:ascii="Calibri" w:hAnsi="Calibri"/>
                <w:sz w:val="22"/>
              </w:rPr>
              <w:t>$1.01</w:t>
            </w:r>
          </w:p>
        </w:tc>
        <w:tc>
          <w:tcPr>
            <w:tcW w:type="dxa" w:w="1440"/>
          </w:tcPr>
          <w:p>
            <w:r>
              <w:rPr>
                <w:rFonts w:ascii="Calibri" w:hAnsi="Calibri"/>
                <w:b/>
                <w:color w:val="30A46C"/>
                <w:sz w:val="22"/>
              </w:rPr>
              <w:t>+15.8%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$2.65B</w:t>
            </w:r>
          </w:p>
        </w:tc>
        <w:tc>
          <w:tcPr>
            <w:tcW w:type="dxa" w:w="1440"/>
          </w:tcPr>
          <w:p>
            <w:r>
              <w:rPr>
                <w:rFonts w:ascii="Calibri" w:hAnsi="Calibri"/>
                <w:sz w:val="22"/>
              </w:rPr>
              <w:t>$2.65B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$1.36</w:t>
            </w:r>
          </w:p>
        </w:tc>
        <w:tc>
          <w:tcPr>
            <w:tcW w:type="dxa" w:w="1440"/>
          </w:tcPr>
          <w:p>
            <w:r>
              <w:rPr>
                <w:rFonts w:ascii="Calibri" w:hAnsi="Calibri"/>
                <w:sz w:val="22"/>
              </w:rPr>
              <w:t>$1.29</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$2.88B</w:t>
            </w:r>
          </w:p>
        </w:tc>
        <w:tc>
          <w:tcPr>
            <w:tcW w:type="dxa" w:w="1440"/>
          </w:tcPr>
          <w:p>
            <w:r>
              <w:rPr>
                <w:rFonts w:ascii="Calibri" w:hAnsi="Calibri"/>
                <w:sz w:val="22"/>
              </w:rPr>
              <w:t>$2.88B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$1.24</w:t>
            </w:r>
          </w:p>
        </w:tc>
        <w:tc>
          <w:tcPr>
            <w:tcW w:type="dxa" w:w="1440"/>
          </w:tcPr>
          <w:p>
            <w:r>
              <w:rPr>
                <w:rFonts w:ascii="Calibri" w:hAnsi="Calibri"/>
                <w:sz w:val="22"/>
              </w:rPr>
              <w:t>$0.99</w:t>
            </w:r>
          </w:p>
        </w:tc>
        <w:tc>
          <w:tcPr>
            <w:tcW w:type="dxa" w:w="1440"/>
          </w:tcPr>
          <w:p>
            <w:r>
              <w:rPr>
                <w:rFonts w:ascii="Calibri" w:hAnsi="Calibri"/>
                <w:b/>
                <w:color w:val="30A46C"/>
                <w:sz w:val="22"/>
              </w:rPr>
              <w:t>+25.3%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$2.68B</w:t>
            </w:r>
          </w:p>
        </w:tc>
        <w:tc>
          <w:tcPr>
            <w:tcW w:type="dxa" w:w="1440"/>
          </w:tcPr>
          <w:p>
            <w:r>
              <w:rPr>
                <w:rFonts w:ascii="Calibri" w:hAnsi="Calibri"/>
                <w:sz w:val="22"/>
              </w:rPr>
              <w:t>$2.59B</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$0.95</w:t>
            </w:r>
          </w:p>
        </w:tc>
        <w:tc>
          <w:tcPr>
            <w:tcW w:type="dxa" w:w="1440"/>
          </w:tcPr>
          <w:p>
            <w:r>
              <w:rPr>
                <w:rFonts w:ascii="Calibri" w:hAnsi="Calibri"/>
                <w:sz w:val="22"/>
              </w:rPr>
              <w:t>$0.84</w:t>
            </w:r>
          </w:p>
        </w:tc>
        <w:tc>
          <w:tcPr>
            <w:tcW w:type="dxa" w:w="1440"/>
          </w:tcPr>
          <w:p>
            <w:r>
              <w:rPr>
                <w:rFonts w:ascii="Calibri" w:hAnsi="Calibri"/>
                <w:b/>
                <w:color w:val="30A46C"/>
                <w:sz w:val="22"/>
              </w:rPr>
              <w:t>+13.1%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$2.64B</w:t>
            </w:r>
          </w:p>
        </w:tc>
        <w:tc>
          <w:tcPr>
            <w:tcW w:type="dxa" w:w="1440"/>
          </w:tcPr>
          <w:p>
            <w:r>
              <w:rPr>
                <w:rFonts w:ascii="Calibri" w:hAnsi="Calibri"/>
                <w:sz w:val="22"/>
              </w:rPr>
              <w:t>$2.36B</w:t>
            </w:r>
          </w:p>
        </w:tc>
        <w:tc>
          <w:tcPr>
            <w:tcW w:type="dxa" w:w="1440"/>
          </w:tcPr>
          <w:p>
            <w:r>
              <w:rPr>
                <w:rFonts w:ascii="Calibri" w:hAnsi="Calibri"/>
                <w:b/>
                <w:color w:val="30A46C"/>
                <w:sz w:val="22"/>
              </w:rPr>
              <w:t>+11.9%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$0.64</w:t>
            </w:r>
          </w:p>
        </w:tc>
        <w:tc>
          <w:tcPr>
            <w:tcW w:type="dxa" w:w="1440"/>
          </w:tcPr>
          <w:p>
            <w:r>
              <w:rPr>
                <w:rFonts w:ascii="Calibri" w:hAnsi="Calibri"/>
                <w:sz w:val="22"/>
              </w:rPr>
              <w:t>$0.62</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$2.04B</w:t>
            </w:r>
          </w:p>
        </w:tc>
        <w:tc>
          <w:tcPr>
            <w:tcW w:type="dxa" w:w="1440"/>
          </w:tcPr>
          <w:p>
            <w:r>
              <w:rPr>
                <w:rFonts w:ascii="Calibri" w:hAnsi="Calibri"/>
                <w:sz w:val="22"/>
              </w:rPr>
              <w:t>$1.94B</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$0.99</w:t>
            </w:r>
          </w:p>
        </w:tc>
        <w:tc>
          <w:tcPr>
            <w:tcW w:type="dxa" w:w="1440"/>
          </w:tcPr>
          <w:p>
            <w:r>
              <w:rPr>
                <w:rFonts w:ascii="Calibri" w:hAnsi="Calibri"/>
                <w:sz w:val="22"/>
              </w:rPr>
              <w:t>$0.82</w:t>
            </w:r>
          </w:p>
        </w:tc>
        <w:tc>
          <w:tcPr>
            <w:tcW w:type="dxa" w:w="1440"/>
          </w:tcPr>
          <w:p>
            <w:r>
              <w:rPr>
                <w:rFonts w:ascii="Calibri" w:hAnsi="Calibri"/>
                <w:b/>
                <w:color w:val="30A46C"/>
                <w:sz w:val="22"/>
              </w:rPr>
              <w:t>+20.7%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$2.35B</w:t>
            </w:r>
          </w:p>
        </w:tc>
        <w:tc>
          <w:tcPr>
            <w:tcW w:type="dxa" w:w="1440"/>
          </w:tcPr>
          <w:p>
            <w:r>
              <w:rPr>
                <w:rFonts w:ascii="Calibri" w:hAnsi="Calibri"/>
                <w:sz w:val="22"/>
              </w:rPr>
              <w:t>$2.16B</w:t>
            </w:r>
          </w:p>
        </w:tc>
        <w:tc>
          <w:tcPr>
            <w:tcW w:type="dxa" w:w="1440"/>
          </w:tcPr>
          <w:p>
            <w:r>
              <w:rPr>
                <w:rFonts w:ascii="Calibri" w:hAnsi="Calibri"/>
                <w:b/>
                <w:color w:val="30A46C"/>
                <w:sz w:val="22"/>
              </w:rPr>
              <w:t>+8.8%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$0.76</w:t>
            </w:r>
          </w:p>
        </w:tc>
        <w:tc>
          <w:tcPr>
            <w:tcW w:type="dxa" w:w="1440"/>
          </w:tcPr>
          <w:p>
            <w:r>
              <w:rPr>
                <w:rFonts w:ascii="Calibri" w:hAnsi="Calibri"/>
                <w:sz w:val="22"/>
              </w:rPr>
              <w:t>$0.69</w:t>
            </w:r>
          </w:p>
        </w:tc>
        <w:tc>
          <w:tcPr>
            <w:tcW w:type="dxa" w:w="1440"/>
          </w:tcPr>
          <w:p>
            <w:r>
              <w:rPr>
                <w:rFonts w:ascii="Calibri" w:hAnsi="Calibri"/>
                <w:b/>
                <w:color w:val="30A46C"/>
                <w:sz w:val="22"/>
              </w:rPr>
              <w:t>+10.1%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$2.07B</w:t>
            </w:r>
          </w:p>
        </w:tc>
        <w:tc>
          <w:tcPr>
            <w:tcW w:type="dxa" w:w="1440"/>
          </w:tcPr>
          <w:p>
            <w:r>
              <w:rPr>
                <w:rFonts w:ascii="Calibri" w:hAnsi="Calibri"/>
                <w:sz w:val="22"/>
              </w:rPr>
              <w:t>$1.98B</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$0.57</w:t>
            </w:r>
          </w:p>
        </w:tc>
        <w:tc>
          <w:tcPr>
            <w:tcW w:type="dxa" w:w="1440"/>
          </w:tcPr>
          <w:p>
            <w:r>
              <w:rPr>
                <w:rFonts w:ascii="Calibri" w:hAnsi="Calibri"/>
                <w:b/>
                <w:color w:val="30A46C"/>
                <w:sz w:val="22"/>
              </w:rPr>
              <w:t>+17.5%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$1.95B</w:t>
            </w:r>
          </w:p>
        </w:tc>
        <w:tc>
          <w:tcPr>
            <w:tcW w:type="dxa" w:w="1440"/>
          </w:tcPr>
          <w:p>
            <w:r>
              <w:rPr>
                <w:rFonts w:ascii="Calibri" w:hAnsi="Calibri"/>
                <w:sz w:val="22"/>
              </w:rPr>
              <w:t>$1.94B</w:t>
            </w:r>
          </w:p>
        </w:tc>
        <w:tc>
          <w:tcPr>
            <w:tcW w:type="dxa" w:w="1440"/>
          </w:tcPr>
          <w:p>
            <w:r>
              <w:rPr>
                <w:rFonts w:ascii="Calibri" w:hAnsi="Calibri"/>
                <w:b/>
                <w:color w:val="30A46C"/>
                <w:sz w:val="22"/>
              </w:rPr>
              <w:t>+0.7%</w:t>
            </w:r>
          </w:p>
        </w:tc>
        <w:tc>
          <w:tcPr>
            <w:tcW w:type="dxa" w:w="1440"/>
          </w:tcPr>
          <w:p>
            <w:r>
              <w:rPr>
                <w:rFonts w:ascii="Calibri" w:hAnsi="Calibri"/>
                <w:sz w:val="22"/>
              </w:rPr>
              <w:t>Beat</w:t>
            </w:r>
          </w:p>
        </w:tc>
      </w:tr>
    </w:tbl>
    <w:p>
      <w:r>
        <w:rPr>
          <w:rFonts w:ascii="Calibri" w:hAnsi="Calibri"/>
          <w:color w:val="525866"/>
          <w:sz w:val="22"/>
        </w:rPr>
        <w:t>VRT has beaten adjusted EPS consensus in each of the last 8 quarters, with an average surprise of approximately +14% — a consistent pattern that sets a high bar for the market's implicit expectations even when the stated consensus appears achievable.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was raised meaningfully at Q1 earnings (April 22) and has not been formally revised since. The May Investor Conference reaffirmed the long-term algorithm with upgraded 5-year targets but left 2026 guidance unchanged. Tone has shifted from cautious tariff management to confident mitigation.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$3.25B–$3.45B</w:t>
            </w:r>
          </w:p>
        </w:tc>
        <w:tc>
          <w:tcPr>
            <w:tcW w:type="dxa" w:w="1728"/>
          </w:tcPr>
          <w:p>
            <w:r>
              <w:rPr>
                <w:rFonts w:ascii="Calibri" w:hAnsi="Calibri"/>
                <w:sz w:val="22"/>
              </w:rPr>
              <w:t>—</w:t>
            </w:r>
          </w:p>
        </w:tc>
        <w:tc>
          <w:tcPr>
            <w:tcW w:type="dxa" w:w="1728"/>
          </w:tcPr>
          <w:p>
            <w:r>
              <w:rPr>
                <w:rFonts w:ascii="Calibri" w:hAnsi="Calibri"/>
                <w:sz w:val="22"/>
              </w:rPr>
              <w:t>$3.39B</w:t>
            </w:r>
          </w:p>
        </w:tc>
        <w:tc>
          <w:tcPr>
            <w:tcW w:type="dxa" w:w="1728"/>
          </w:tcPr>
          <w:p>
            <w:r>
              <w:rPr>
                <w:rFonts w:ascii="Calibri" w:hAnsi="Calibri"/>
                <w:sz w:val="22"/>
              </w:rPr>
              <w:t>Unchanged since Q1 print; consensus at midpoint</w:t>
            </w:r>
          </w:p>
        </w:tc>
      </w:tr>
      <w:tr>
        <w:tc>
          <w:tcPr>
            <w:tcW w:type="dxa" w:w="1728"/>
          </w:tcPr>
          <w:p>
            <w:r>
              <w:rPr>
                <w:rFonts w:ascii="Calibri" w:hAnsi="Calibri"/>
                <w:sz w:val="22"/>
              </w:rPr>
              <w:t>Q2 2026 Adj. Op. Margin</w:t>
            </w:r>
          </w:p>
        </w:tc>
        <w:tc>
          <w:tcPr>
            <w:tcW w:type="dxa" w:w="1728"/>
          </w:tcPr>
          <w:p>
            <w:r>
              <w:rPr>
                <w:rFonts w:ascii="Calibri" w:hAnsi="Calibri"/>
                <w:sz w:val="22"/>
              </w:rPr>
              <w:t>20.7%–21.7%</w:t>
            </w:r>
          </w:p>
        </w:tc>
        <w:tc>
          <w:tcPr>
            <w:tcW w:type="dxa" w:w="1728"/>
          </w:tcPr>
          <w:p>
            <w:r>
              <w:rPr>
                <w:rFonts w:ascii="Calibri" w:hAnsi="Calibri"/>
                <w:sz w:val="22"/>
              </w:rPr>
              <w:t>—</w:t>
            </w:r>
          </w:p>
        </w:tc>
        <w:tc>
          <w:tcPr>
            <w:tcW w:type="dxa" w:w="1728"/>
          </w:tcPr>
          <w:p>
            <w:r>
              <w:rPr>
                <w:rFonts w:ascii="Calibri" w:hAnsi="Calibri"/>
                <w:sz w:val="22"/>
              </w:rPr>
              <w:t>21.5%</w:t>
            </w:r>
          </w:p>
        </w:tc>
        <w:tc>
          <w:tcPr>
            <w:tcW w:type="dxa" w:w="1728"/>
          </w:tcPr>
          <w:p>
            <w:r>
              <w:rPr>
                <w:rFonts w:ascii="Calibri" w:hAnsi="Calibri"/>
                <w:sz w:val="22"/>
              </w:rPr>
              <w:t>Consensus slightly above midpoint (21.2%); Q1 came in 180bps above guidance</w:t>
            </w:r>
          </w:p>
        </w:tc>
      </w:tr>
      <w:tr>
        <w:tc>
          <w:tcPr>
            <w:tcW w:type="dxa" w:w="1728"/>
          </w:tcPr>
          <w:p>
            <w:r>
              <w:rPr>
                <w:rFonts w:ascii="Calibri" w:hAnsi="Calibri"/>
                <w:sz w:val="22"/>
              </w:rPr>
              <w:t>Q2 2026 Adj. Diluted EPS</w:t>
            </w:r>
          </w:p>
        </w:tc>
        <w:tc>
          <w:tcPr>
            <w:tcW w:type="dxa" w:w="1728"/>
          </w:tcPr>
          <w:p>
            <w:r>
              <w:rPr>
                <w:rFonts w:ascii="Calibri" w:hAnsi="Calibri"/>
                <w:sz w:val="22"/>
              </w:rPr>
              <w:t>$1.37–$1.43</w:t>
            </w:r>
          </w:p>
        </w:tc>
        <w:tc>
          <w:tcPr>
            <w:tcW w:type="dxa" w:w="1728"/>
          </w:tcPr>
          <w:p>
            <w:r>
              <w:rPr>
                <w:rFonts w:ascii="Calibri" w:hAnsi="Calibri"/>
                <w:sz w:val="22"/>
              </w:rPr>
              <w:t>—</w:t>
            </w:r>
          </w:p>
        </w:tc>
        <w:tc>
          <w:tcPr>
            <w:tcW w:type="dxa" w:w="1728"/>
          </w:tcPr>
          <w:p>
            <w:r>
              <w:rPr>
                <w:rFonts w:ascii="Calibri" w:hAnsi="Calibri"/>
                <w:sz w:val="22"/>
              </w:rPr>
              <w:t>$1.44</w:t>
            </w:r>
          </w:p>
        </w:tc>
        <w:tc>
          <w:tcPr>
            <w:tcW w:type="dxa" w:w="1728"/>
          </w:tcPr>
          <w:p>
            <w:r>
              <w:rPr>
                <w:rFonts w:ascii="Calibri" w:hAnsi="Calibri"/>
                <w:sz w:val="22"/>
              </w:rPr>
              <w:t>Consensus slightly above high end of range; reflects pattern of consistent beats</w:t>
            </w:r>
          </w:p>
        </w:tc>
      </w:tr>
      <w:tr>
        <w:tc>
          <w:tcPr>
            <w:tcW w:type="dxa" w:w="1728"/>
          </w:tcPr>
          <w:p>
            <w:r>
              <w:rPr>
                <w:rFonts w:ascii="Calibri" w:hAnsi="Calibri"/>
                <w:sz w:val="22"/>
              </w:rPr>
              <w:t>FY 2026 Net Sales</w:t>
            </w:r>
          </w:p>
        </w:tc>
        <w:tc>
          <w:tcPr>
            <w:tcW w:type="dxa" w:w="1728"/>
          </w:tcPr>
          <w:p>
            <w:r>
              <w:rPr>
                <w:rFonts w:ascii="Calibri" w:hAnsi="Calibri"/>
                <w:sz w:val="22"/>
              </w:rPr>
              <w:t>$13.5B–$14.0B (30% organic growth)</w:t>
            </w:r>
          </w:p>
        </w:tc>
        <w:tc>
          <w:tcPr>
            <w:tcW w:type="dxa" w:w="1728"/>
          </w:tcPr>
          <w:p>
            <w:r>
              <w:rPr>
                <w:rFonts w:ascii="Calibri" w:hAnsi="Calibri"/>
                <w:sz w:val="22"/>
              </w:rPr>
              <w:t>—</w:t>
            </w:r>
          </w:p>
        </w:tc>
        <w:tc>
          <w:tcPr>
            <w:tcW w:type="dxa" w:w="1728"/>
          </w:tcPr>
          <w:p>
            <w:r>
              <w:rPr>
                <w:rFonts w:ascii="Calibri" w:hAnsi="Calibri"/>
                <w:sz w:val="22"/>
              </w:rPr>
              <w:t>$13.89B</w:t>
            </w:r>
          </w:p>
        </w:tc>
        <w:tc>
          <w:tcPr>
            <w:tcW w:type="dxa" w:w="1728"/>
          </w:tcPr>
          <w:p>
            <w:r>
              <w:rPr>
                <w:rFonts w:ascii="Calibri" w:hAnsi="Calibri"/>
                <w:sz w:val="22"/>
              </w:rPr>
              <w:t>Raised at Q1 from prior guide; May Investor Conference left unchanged</w:t>
            </w:r>
          </w:p>
        </w:tc>
      </w:tr>
      <w:tr>
        <w:tc>
          <w:tcPr>
            <w:tcW w:type="dxa" w:w="1728"/>
          </w:tcPr>
          <w:p>
            <w:r>
              <w:rPr>
                <w:rFonts w:ascii="Calibri" w:hAnsi="Calibri"/>
                <w:sz w:val="22"/>
              </w:rPr>
              <w:t>FY 2026 Adj. Op. Margin</w:t>
            </w:r>
          </w:p>
        </w:tc>
        <w:tc>
          <w:tcPr>
            <w:tcW w:type="dxa" w:w="1728"/>
          </w:tcPr>
          <w:p>
            <w:r>
              <w:rPr>
                <w:rFonts w:ascii="Calibri" w:hAnsi="Calibri"/>
                <w:sz w:val="22"/>
              </w:rPr>
              <w:t>22.8%–23.8% (23.3% mid)</w:t>
            </w:r>
          </w:p>
        </w:tc>
        <w:tc>
          <w:tcPr>
            <w:tcW w:type="dxa" w:w="1728"/>
          </w:tcPr>
          <w:p>
            <w:r>
              <w:rPr>
                <w:rFonts w:ascii="Calibri" w:hAnsi="Calibri"/>
                <w:sz w:val="22"/>
              </w:rPr>
              <w:t>—</w:t>
            </w:r>
          </w:p>
        </w:tc>
        <w:tc>
          <w:tcPr>
            <w:tcW w:type="dxa" w:w="1728"/>
          </w:tcPr>
          <w:p>
            <w:r>
              <w:rPr>
                <w:rFonts w:ascii="Calibri" w:hAnsi="Calibri"/>
                <w:sz w:val="22"/>
              </w:rPr>
              <w:t>23.4%</w:t>
            </w:r>
          </w:p>
        </w:tc>
        <w:tc>
          <w:tcPr>
            <w:tcW w:type="dxa" w:w="1728"/>
          </w:tcPr>
          <w:p>
            <w:r>
              <w:rPr>
                <w:rFonts w:ascii="Calibri" w:hAnsi="Calibri"/>
                <w:sz w:val="22"/>
              </w:rPr>
              <w:t>Raised 80bps at Q1; May conference reaffirmed; consensus at midpoint</w:t>
            </w:r>
          </w:p>
        </w:tc>
      </w:tr>
      <w:tr>
        <w:tc>
          <w:tcPr>
            <w:tcW w:type="dxa" w:w="1728"/>
          </w:tcPr>
          <w:p>
            <w:r>
              <w:rPr>
                <w:rFonts w:ascii="Calibri" w:hAnsi="Calibri"/>
                <w:sz w:val="22"/>
              </w:rPr>
              <w:t>FY 2026 Adj. Diluted EPS</w:t>
            </w:r>
          </w:p>
        </w:tc>
        <w:tc>
          <w:tcPr>
            <w:tcW w:type="dxa" w:w="1728"/>
          </w:tcPr>
          <w:p>
            <w:r>
              <w:rPr>
                <w:rFonts w:ascii="Calibri" w:hAnsi="Calibri"/>
                <w:sz w:val="22"/>
              </w:rPr>
              <w:t>$6.30–$6.40 (+51% YoY)</w:t>
            </w:r>
          </w:p>
        </w:tc>
        <w:tc>
          <w:tcPr>
            <w:tcW w:type="dxa" w:w="1728"/>
          </w:tcPr>
          <w:p>
            <w:r>
              <w:rPr>
                <w:rFonts w:ascii="Calibri" w:hAnsi="Calibri"/>
                <w:sz w:val="22"/>
              </w:rPr>
              <w:t>—</w:t>
            </w:r>
          </w:p>
        </w:tc>
        <w:tc>
          <w:tcPr>
            <w:tcW w:type="dxa" w:w="1728"/>
          </w:tcPr>
          <w:p>
            <w:r>
              <w:rPr>
                <w:rFonts w:ascii="Calibri" w:hAnsi="Calibri"/>
                <w:sz w:val="22"/>
              </w:rPr>
              <w:t>$6.48</w:t>
            </w:r>
          </w:p>
        </w:tc>
        <w:tc>
          <w:tcPr>
            <w:tcW w:type="dxa" w:w="1728"/>
          </w:tcPr>
          <w:p>
            <w:r>
              <w:rPr>
                <w:rFonts w:ascii="Calibri" w:hAnsi="Calibri"/>
                <w:sz w:val="22"/>
              </w:rPr>
              <w:t>↑ Raised $0.33 at Q1 earnings; consensus slightly above high end, consistent with beat pattern</w:t>
            </w:r>
          </w:p>
        </w:tc>
      </w:tr>
      <w:tr>
        <w:tc>
          <w:tcPr>
            <w:tcW w:type="dxa" w:w="1728"/>
          </w:tcPr>
          <w:p>
            <w:r>
              <w:rPr>
                <w:rFonts w:ascii="Calibri" w:hAnsi="Calibri"/>
                <w:sz w:val="22"/>
              </w:rPr>
              <w:t>FY 2026 Adj. Free Cash Flow</w:t>
            </w:r>
          </w:p>
        </w:tc>
        <w:tc>
          <w:tcPr>
            <w:tcW w:type="dxa" w:w="1728"/>
          </w:tcPr>
          <w:p>
            <w:r>
              <w:rPr>
                <w:rFonts w:ascii="Calibri" w:hAnsi="Calibri"/>
                <w:sz w:val="22"/>
              </w:rPr>
              <w:t>$2.1B–$2.3B (+17% YoY)</w:t>
            </w:r>
          </w:p>
        </w:tc>
        <w:tc>
          <w:tcPr>
            <w:tcW w:type="dxa" w:w="1728"/>
          </w:tcPr>
          <w:p>
            <w:r>
              <w:rPr>
                <w:rFonts w:ascii="Calibri" w:hAnsi="Calibri"/>
                <w:sz w:val="22"/>
              </w:rPr>
              <w:t>—</w:t>
            </w:r>
          </w:p>
        </w:tc>
        <w:tc>
          <w:tcPr>
            <w:tcW w:type="dxa" w:w="1728"/>
          </w:tcPr>
          <w:p>
            <w:r>
              <w:rPr>
                <w:rFonts w:ascii="Calibri" w:hAnsi="Calibri"/>
                <w:sz w:val="22"/>
              </w:rPr>
              <w:t>$2.27B</w:t>
            </w:r>
          </w:p>
        </w:tc>
        <w:tc>
          <w:tcPr>
            <w:tcW w:type="dxa" w:w="1728"/>
          </w:tcPr>
          <w:p>
            <w:r>
              <w:rPr>
                <w:rFonts w:ascii="Calibri" w:hAnsi="Calibri"/>
                <w:sz w:val="22"/>
              </w:rPr>
              <w:t>Maintained at Q1; consensus at midpoint</w:t>
            </w:r>
          </w:p>
        </w:tc>
      </w:tr>
      <w:tr>
        <w:tc>
          <w:tcPr>
            <w:tcW w:type="dxa" w:w="1728"/>
          </w:tcPr>
          <w:p>
            <w:r>
              <w:rPr>
                <w:rFonts w:ascii="Calibri" w:hAnsi="Calibri"/>
                <w:sz w:val="22"/>
              </w:rPr>
              <w:t>EMEA Organic Growth (FY)</w:t>
            </w:r>
          </w:p>
        </w:tc>
        <w:tc>
          <w:tcPr>
            <w:tcW w:type="dxa" w:w="1728"/>
          </w:tcPr>
          <w:p>
            <w:r>
              <w:rPr>
                <w:rFonts w:ascii="Calibri" w:hAnsi="Calibri"/>
                <w:sz w:val="22"/>
              </w:rPr>
              <w:t>Flat YoY</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H2 return to YoY growth embedded in guidance; Q1 EMEA was −29% organic</w:t>
            </w:r>
          </w:p>
        </w:tc>
      </w:tr>
      <w:tr>
        <w:tc>
          <w:tcPr>
            <w:tcW w:type="dxa" w:w="1728"/>
          </w:tcPr>
          <w:p>
            <w:r>
              <w:rPr>
                <w:rFonts w:ascii="Calibri" w:hAnsi="Calibri"/>
                <w:sz w:val="22"/>
              </w:rPr>
              <w:t>Long-Term Revenue CAGR (5-yr)</w:t>
            </w:r>
          </w:p>
        </w:tc>
        <w:tc>
          <w:tcPr>
            <w:tcW w:type="dxa" w:w="1728"/>
          </w:tcPr>
          <w:p>
            <w:r>
              <w:rPr>
                <w:rFonts w:ascii="Calibri" w:hAnsi="Calibri"/>
                <w:sz w:val="22"/>
              </w:rPr>
              <w:t>Low-to-mid teens (2024 Investor Day)</w:t>
            </w:r>
          </w:p>
        </w:tc>
        <w:tc>
          <w:tcPr>
            <w:tcW w:type="dxa" w:w="1728"/>
          </w:tcPr>
          <w:p>
            <w:r>
              <w:rPr>
                <w:rFonts w:ascii="Calibri" w:hAnsi="Calibri"/>
                <w:sz w:val="22"/>
              </w:rPr>
              <w:t>20–22% CAGR</w:t>
            </w:r>
          </w:p>
        </w:tc>
        <w:tc>
          <w:tcPr>
            <w:tcW w:type="dxa" w:w="1728"/>
          </w:tcPr>
          <w:p>
            <w:r>
              <w:rPr>
                <w:rFonts w:ascii="Calibri" w:hAnsi="Calibri"/>
                <w:sz w:val="22"/>
              </w:rPr>
              <w:t>N/A</w:t>
            </w:r>
          </w:p>
        </w:tc>
        <w:tc>
          <w:tcPr>
            <w:tcW w:type="dxa" w:w="1728"/>
          </w:tcPr>
          <w:p>
            <w:r>
              <w:rPr>
                <w:rFonts w:ascii="Calibri" w:hAnsi="Calibri"/>
                <w:sz w:val="22"/>
              </w:rPr>
              <w:t>↑ Raised at May 19–20 Investor Conference; TAM expanded to ~$75B</w:t>
            </w:r>
          </w:p>
        </w:tc>
      </w:tr>
      <w:tr>
        <w:tc>
          <w:tcPr>
            <w:tcW w:type="dxa" w:w="1728"/>
          </w:tcPr>
          <w:p>
            <w:r>
              <w:rPr>
                <w:rFonts w:ascii="Calibri" w:hAnsi="Calibri"/>
                <w:sz w:val="22"/>
              </w:rPr>
              <w:t>Long-Term Adj. Op. Margin Target</w:t>
            </w:r>
          </w:p>
        </w:tc>
        <w:tc>
          <w:tcPr>
            <w:tcW w:type="dxa" w:w="1728"/>
          </w:tcPr>
          <w:p>
            <w:r>
              <w:rPr>
                <w:rFonts w:ascii="Calibri" w:hAnsi="Calibri"/>
                <w:sz w:val="22"/>
              </w:rPr>
              <w:t>25% (2024 Investor Day)</w:t>
            </w:r>
          </w:p>
        </w:tc>
        <w:tc>
          <w:tcPr>
            <w:tcW w:type="dxa" w:w="1728"/>
          </w:tcPr>
          <w:p>
            <w:r>
              <w:rPr>
                <w:rFonts w:ascii="Calibri" w:hAnsi="Calibri"/>
                <w:sz w:val="22"/>
              </w:rPr>
              <w:t>27%</w:t>
            </w:r>
          </w:p>
        </w:tc>
        <w:tc>
          <w:tcPr>
            <w:tcW w:type="dxa" w:w="1728"/>
          </w:tcPr>
          <w:p>
            <w:r>
              <w:rPr>
                <w:rFonts w:ascii="Calibri" w:hAnsi="Calibri"/>
                <w:sz w:val="22"/>
              </w:rPr>
              <w:t>N/A</w:t>
            </w:r>
          </w:p>
        </w:tc>
        <w:tc>
          <w:tcPr>
            <w:tcW w:type="dxa" w:w="1728"/>
          </w:tcPr>
          <w:p>
            <w:r>
              <w:rPr>
                <w:rFonts w:ascii="Calibri" w:hAnsi="Calibri"/>
                <w:sz w:val="22"/>
              </w:rPr>
              <w:t>↑ Raised at May 19–20 Investor Conference</w:t>
            </w:r>
          </w:p>
        </w:tc>
      </w:tr>
    </w:tbl>
    <w:p>
      <w:r>
        <w:rPr>
          <w:rFonts w:ascii="Calibri" w:hAnsi="Calibri"/>
          <w:color w:val="525866"/>
          <w:sz w:val="22"/>
        </w:rPr>
        <w:t>Sources: VRT Q1 2026 Earnings Release and Transcript (April 22, 2026); Vertiv Investor Conference transcripts (May 19–20,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higher since Q1 earnings across all key metrics, tracking with the raised guidance. The EPS revision trajectory is particularly notable — consensus has risen from ~$1.25 post-Q4 to $1.44 today for Q2, and from ~$6.47 to $6.48 for the full year, suggesting the street has largely absorbed the guidance raise with modest additional upward drift.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w:t>
            </w:r>
          </w:p>
        </w:tc>
      </w:tr>
      <w:tr>
        <w:tc>
          <w:tcPr>
            <w:tcW w:type="dxa" w:w="1080"/>
          </w:tcPr>
          <w:p>
            <w:r>
              <w:rPr>
                <w:rFonts w:ascii="Calibri" w:hAnsi="Calibri"/>
                <w:sz w:val="22"/>
              </w:rPr>
              <w:t>Net Sales — Q2 2026</w:t>
            </w:r>
          </w:p>
        </w:tc>
        <w:tc>
          <w:tcPr>
            <w:tcW w:type="dxa" w:w="1080"/>
          </w:tcPr>
          <w:p>
            <w:r>
              <w:rPr>
                <w:rFonts w:ascii="Calibri" w:hAnsi="Calibri"/>
                <w:sz w:val="22"/>
              </w:rPr>
              <w:t>$3.38B</w:t>
            </w:r>
          </w:p>
        </w:tc>
        <w:tc>
          <w:tcPr>
            <w:tcW w:type="dxa" w:w="1080"/>
          </w:tcPr>
          <w:p>
            <w:r>
              <w:rPr>
                <w:rFonts w:ascii="Calibri" w:hAnsi="Calibri"/>
                <w:sz w:val="22"/>
              </w:rPr>
              <w:t>$3.39B</w:t>
            </w:r>
          </w:p>
        </w:tc>
        <w:tc>
          <w:tcPr>
            <w:tcW w:type="dxa" w:w="1080"/>
          </w:tcPr>
          <w:p>
            <w:r>
              <w:rPr>
                <w:rFonts w:ascii="Calibri" w:hAnsi="Calibri"/>
                <w:sz w:val="22"/>
              </w:rPr>
              <w:t>+0.3%</w:t>
            </w:r>
          </w:p>
        </w:tc>
        <w:tc>
          <w:tcPr>
            <w:tcW w:type="dxa" w:w="1080"/>
          </w:tcPr>
          <w:p>
            <w:r>
              <w:rPr>
                <w:rFonts w:ascii="Calibri" w:hAnsi="Calibri"/>
                <w:sz w:val="22"/>
              </w:rPr>
              <w:t>$3.25B–$3.45B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$3.35B mid</w:t>
            </w:r>
          </w:p>
        </w:tc>
      </w:tr>
      <w:tr>
        <w:tc>
          <w:tcPr>
            <w:tcW w:type="dxa" w:w="1080"/>
          </w:tcPr>
          <w:p>
            <w:r>
              <w:rPr>
                <w:rFonts w:ascii="Calibri" w:hAnsi="Calibri"/>
                <w:sz w:val="22"/>
              </w:rPr>
              <w:t>Adj. Op. Margin — Q2 2026</w:t>
            </w:r>
          </w:p>
        </w:tc>
        <w:tc>
          <w:tcPr>
            <w:tcW w:type="dxa" w:w="1080"/>
          </w:tcPr>
          <w:p>
            <w:r>
              <w:rPr>
                <w:rFonts w:ascii="Calibri" w:hAnsi="Calibri"/>
                <w:sz w:val="22"/>
              </w:rPr>
              <w:t>21.4%</w:t>
            </w:r>
          </w:p>
        </w:tc>
        <w:tc>
          <w:tcPr>
            <w:tcW w:type="dxa" w:w="1080"/>
          </w:tcPr>
          <w:p>
            <w:r>
              <w:rPr>
                <w:rFonts w:ascii="Calibri" w:hAnsi="Calibri"/>
                <w:sz w:val="22"/>
              </w:rPr>
              <w:t>21.5%</w:t>
            </w:r>
          </w:p>
        </w:tc>
        <w:tc>
          <w:tcPr>
            <w:tcW w:type="dxa" w:w="1080"/>
          </w:tcPr>
          <w:p>
            <w:r>
              <w:rPr>
                <w:rFonts w:ascii="Calibri" w:hAnsi="Calibri"/>
                <w:sz w:val="22"/>
              </w:rPr>
              <w:t>+10bps</w:t>
            </w:r>
          </w:p>
        </w:tc>
        <w:tc>
          <w:tcPr>
            <w:tcW w:type="dxa" w:w="1080"/>
          </w:tcPr>
          <w:p>
            <w:r>
              <w:rPr>
                <w:rFonts w:ascii="Calibri" w:hAnsi="Calibri"/>
                <w:sz w:val="22"/>
              </w:rPr>
              <w:t>20.7%–21.7%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+30bps vs. 21.2% mid</w:t>
            </w:r>
          </w:p>
        </w:tc>
      </w:tr>
      <w:tr>
        <w:tc>
          <w:tcPr>
            <w:tcW w:type="dxa" w:w="1080"/>
          </w:tcPr>
          <w:p>
            <w:r>
              <w:rPr>
                <w:rFonts w:ascii="Calibri" w:hAnsi="Calibri"/>
                <w:sz w:val="22"/>
              </w:rPr>
              <w:t>Adj. EPS — Q2 2026</w:t>
            </w:r>
          </w:p>
        </w:tc>
        <w:tc>
          <w:tcPr>
            <w:tcW w:type="dxa" w:w="1080"/>
          </w:tcPr>
          <w:p>
            <w:r>
              <w:rPr>
                <w:rFonts w:ascii="Calibri" w:hAnsi="Calibri"/>
                <w:sz w:val="22"/>
              </w:rPr>
              <w:t>$1.43</w:t>
            </w:r>
          </w:p>
        </w:tc>
        <w:tc>
          <w:tcPr>
            <w:tcW w:type="dxa" w:w="1080"/>
          </w:tcPr>
          <w:p>
            <w:r>
              <w:rPr>
                <w:rFonts w:ascii="Calibri" w:hAnsi="Calibri"/>
                <w:sz w:val="22"/>
              </w:rPr>
              <w:t>$1.44</w:t>
            </w:r>
          </w:p>
        </w:tc>
        <w:tc>
          <w:tcPr>
            <w:tcW w:type="dxa" w:w="1080"/>
          </w:tcPr>
          <w:p>
            <w:r>
              <w:rPr>
                <w:rFonts w:ascii="Calibri" w:hAnsi="Calibri"/>
                <w:sz w:val="22"/>
              </w:rPr>
              <w:t>+0.7%</w:t>
            </w:r>
          </w:p>
        </w:tc>
        <w:tc>
          <w:tcPr>
            <w:tcW w:type="dxa" w:w="1080"/>
          </w:tcPr>
          <w:p>
            <w:r>
              <w:rPr>
                <w:rFonts w:ascii="Calibri" w:hAnsi="Calibri"/>
                <w:sz w:val="22"/>
              </w:rPr>
              <w:t>$1.37–$1.43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 vs. $1.40 mid</w:t>
            </w:r>
          </w:p>
        </w:tc>
      </w:tr>
      <w:tr>
        <w:tc>
          <w:tcPr>
            <w:tcW w:type="dxa" w:w="1080"/>
          </w:tcPr>
          <w:p>
            <w:r>
              <w:rPr>
                <w:rFonts w:ascii="Calibri" w:hAnsi="Calibri"/>
                <w:sz w:val="22"/>
              </w:rPr>
              <w:t>Net Sales — FY 2026</w:t>
            </w:r>
          </w:p>
        </w:tc>
        <w:tc>
          <w:tcPr>
            <w:tcW w:type="dxa" w:w="1080"/>
          </w:tcPr>
          <w:p>
            <w:r>
              <w:rPr>
                <w:rFonts w:ascii="Calibri" w:hAnsi="Calibri"/>
                <w:sz w:val="22"/>
              </w:rPr>
              <w:t>$13.88B</w:t>
            </w:r>
          </w:p>
        </w:tc>
        <w:tc>
          <w:tcPr>
            <w:tcW w:type="dxa" w:w="1080"/>
          </w:tcPr>
          <w:p>
            <w:r>
              <w:rPr>
                <w:rFonts w:ascii="Calibri" w:hAnsi="Calibri"/>
                <w:sz w:val="22"/>
              </w:rPr>
              <w:t>$13.89B</w:t>
            </w:r>
          </w:p>
        </w:tc>
        <w:tc>
          <w:tcPr>
            <w:tcW w:type="dxa" w:w="1080"/>
          </w:tcPr>
          <w:p>
            <w:r>
              <w:rPr>
                <w:rFonts w:ascii="Calibri" w:hAnsi="Calibri"/>
                <w:sz w:val="22"/>
              </w:rPr>
              <w:t>+0.1%</w:t>
            </w:r>
          </w:p>
        </w:tc>
        <w:tc>
          <w:tcPr>
            <w:tcW w:type="dxa" w:w="1080"/>
          </w:tcPr>
          <w:p>
            <w:r>
              <w:rPr>
                <w:rFonts w:ascii="Calibri" w:hAnsi="Calibri"/>
                <w:sz w:val="22"/>
              </w:rPr>
              <w:t>$13.5B–$14.0B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vs. $13.75B mid</w:t>
            </w:r>
          </w:p>
        </w:tc>
      </w:tr>
      <w:tr>
        <w:tc>
          <w:tcPr>
            <w:tcW w:type="dxa" w:w="1080"/>
          </w:tcPr>
          <w:p>
            <w:r>
              <w:rPr>
                <w:rFonts w:ascii="Calibri" w:hAnsi="Calibri"/>
                <w:sz w:val="22"/>
              </w:rPr>
              <w:t>Adj. Op. Margin — FY 2026</w:t>
            </w:r>
          </w:p>
        </w:tc>
        <w:tc>
          <w:tcPr>
            <w:tcW w:type="dxa" w:w="1080"/>
          </w:tcPr>
          <w:p>
            <w:r>
              <w:rPr>
                <w:rFonts w:ascii="Calibri" w:hAnsi="Calibri"/>
                <w:sz w:val="22"/>
              </w:rPr>
              <w:t>23.4%</w:t>
            </w:r>
          </w:p>
        </w:tc>
        <w:tc>
          <w:tcPr>
            <w:tcW w:type="dxa" w:w="1080"/>
          </w:tcPr>
          <w:p>
            <w:r>
              <w:rPr>
                <w:rFonts w:ascii="Calibri" w:hAnsi="Calibri"/>
                <w:sz w:val="22"/>
              </w:rPr>
              <w:t>23.4%</w:t>
            </w:r>
          </w:p>
        </w:tc>
        <w:tc>
          <w:tcPr>
            <w:tcW w:type="dxa" w:w="1080"/>
          </w:tcPr>
          <w:p>
            <w:r>
              <w:rPr>
                <w:rFonts w:ascii="Calibri" w:hAnsi="Calibri"/>
                <w:sz w:val="22"/>
              </w:rPr>
              <w:t>Flat</w:t>
            </w:r>
          </w:p>
        </w:tc>
        <w:tc>
          <w:tcPr>
            <w:tcW w:type="dxa" w:w="1080"/>
          </w:tcPr>
          <w:p>
            <w:r>
              <w:rPr>
                <w:rFonts w:ascii="Calibri" w:hAnsi="Calibri"/>
                <w:sz w:val="22"/>
              </w:rPr>
              <w:t>22.8%–23.8%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+10bps vs. 23.3% mid</w:t>
            </w:r>
          </w:p>
        </w:tc>
      </w:tr>
      <w:tr>
        <w:tc>
          <w:tcPr>
            <w:tcW w:type="dxa" w:w="1080"/>
          </w:tcPr>
          <w:p>
            <w:r>
              <w:rPr>
                <w:rFonts w:ascii="Calibri" w:hAnsi="Calibri"/>
                <w:sz w:val="22"/>
              </w:rPr>
              <w:t>Adj. EPS — FY 2026</w:t>
            </w:r>
          </w:p>
        </w:tc>
        <w:tc>
          <w:tcPr>
            <w:tcW w:type="dxa" w:w="1080"/>
          </w:tcPr>
          <w:p>
            <w:r>
              <w:rPr>
                <w:rFonts w:ascii="Calibri" w:hAnsi="Calibri"/>
                <w:sz w:val="22"/>
              </w:rPr>
              <w:t>$6.47</w:t>
            </w:r>
          </w:p>
        </w:tc>
        <w:tc>
          <w:tcPr>
            <w:tcW w:type="dxa" w:w="1080"/>
          </w:tcPr>
          <w:p>
            <w:r>
              <w:rPr>
                <w:rFonts w:ascii="Calibri" w:hAnsi="Calibri"/>
                <w:sz w:val="22"/>
              </w:rPr>
              <w:t>$6.48</w:t>
            </w:r>
          </w:p>
        </w:tc>
        <w:tc>
          <w:tcPr>
            <w:tcW w:type="dxa" w:w="1080"/>
          </w:tcPr>
          <w:p>
            <w:r>
              <w:rPr>
                <w:rFonts w:ascii="Calibri" w:hAnsi="Calibri"/>
                <w:sz w:val="22"/>
              </w:rPr>
              <w:t>+0.2%</w:t>
            </w:r>
          </w:p>
        </w:tc>
        <w:tc>
          <w:tcPr>
            <w:tcW w:type="dxa" w:w="1080"/>
          </w:tcPr>
          <w:p>
            <w:r>
              <w:rPr>
                <w:rFonts w:ascii="Calibri" w:hAnsi="Calibri"/>
                <w:sz w:val="22"/>
              </w:rPr>
              <w:t>$6.30–$6.40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vs. $6.35 mid</w:t>
            </w:r>
          </w:p>
        </w:tc>
      </w:tr>
      <w:tr>
        <w:tc>
          <w:tcPr>
            <w:tcW w:type="dxa" w:w="1080"/>
          </w:tcPr>
          <w:p>
            <w:r>
              <w:rPr>
                <w:rFonts w:ascii="Calibri" w:hAnsi="Calibri"/>
                <w:sz w:val="22"/>
              </w:rPr>
              <w:t>Free Cash Flow — FY 2026</w:t>
            </w:r>
          </w:p>
        </w:tc>
        <w:tc>
          <w:tcPr>
            <w:tcW w:type="dxa" w:w="1080"/>
          </w:tcPr>
          <w:p>
            <w:r>
              <w:rPr>
                <w:rFonts w:ascii="Calibri" w:hAnsi="Calibri"/>
                <w:sz w:val="22"/>
              </w:rPr>
              <w:t>$2.27B</w:t>
            </w:r>
          </w:p>
        </w:tc>
        <w:tc>
          <w:tcPr>
            <w:tcW w:type="dxa" w:w="1080"/>
          </w:tcPr>
          <w:p>
            <w:r>
              <w:rPr>
                <w:rFonts w:ascii="Calibri" w:hAnsi="Calibri"/>
                <w:sz w:val="22"/>
              </w:rPr>
              <w:t>$2.27B</w:t>
            </w:r>
          </w:p>
        </w:tc>
        <w:tc>
          <w:tcPr>
            <w:tcW w:type="dxa" w:w="1080"/>
          </w:tcPr>
          <w:p>
            <w:r>
              <w:rPr>
                <w:rFonts w:ascii="Calibri" w:hAnsi="Calibri"/>
                <w:sz w:val="22"/>
              </w:rPr>
              <w:t>Flat</w:t>
            </w:r>
          </w:p>
        </w:tc>
        <w:tc>
          <w:tcPr>
            <w:tcW w:type="dxa" w:w="1080"/>
          </w:tcPr>
          <w:p>
            <w:r>
              <w:rPr>
                <w:rFonts w:ascii="Calibri" w:hAnsi="Calibri"/>
                <w:sz w:val="22"/>
              </w:rPr>
              <w:t>$2.1B–$2.3B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bl>
    <w:p>
      <w:r>
        <w:rPr>
          <w:rFonts w:ascii="Calibri" w:hAnsi="Calibri"/>
          <w:color w:val="525866"/>
          <w:sz w:val="22"/>
        </w:rPr>
        <w:t>Estimates have been remarkably stable since the Q1 print, with consensus tracking guidance midpoints closely. The slight premium of consensus to guidance midpoints on EPS reflects the market's expectation of continued operational outperformance, consistent with VRT's 8-quarter beat streak.</w:t>
      </w:r>
    </w:p>
    <w:p>
      <w:r>
        <w:rPr>
          <w:rFonts w:ascii="Calibri" w:hAnsi="Calibri"/>
          <w:color w:val="525866"/>
          <w:sz w:val="22"/>
        </w:rPr>
        <w:t>Source: Visible Alpha Consensus and Actuals Data. Post-Q1 baseline uses consensus as of approximately April 29, 2026 (5 trading days post-earnings).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identified in the post-Q1 period (April 22 – July 28, 2026). All Form 4 filings reviewed consisted exclusively of non-discretionary transactions: RSU/DSU vesting-related tax withholding (Code F), dividend-equivalent DSU accruals (Code A), and 401(k) plan acquisitions. The absence of open-market activity is neither a positive nor negative signal — it is consistent with a company in a quiet period ahead of earnings and with insiders whose equity compensation is primarily RSU-based.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Multiple Insiders</w:t>
            </w:r>
          </w:p>
        </w:tc>
        <w:tc>
          <w:tcPr>
            <w:tcW w:type="dxa" w:w="1440"/>
          </w:tcPr>
          <w:p>
            <w:r>
              <w:rPr>
                <w:rFonts w:ascii="Calibri" w:hAnsi="Calibri"/>
                <w:sz w:val="22"/>
              </w:rPr>
              <w:t>Various</w:t>
            </w:r>
          </w:p>
        </w:tc>
        <w:tc>
          <w:tcPr>
            <w:tcW w:type="dxa" w:w="1440"/>
          </w:tcPr>
          <w:p>
            <w:r>
              <w:rPr>
                <w:rFonts w:ascii="Calibri" w:hAnsi="Calibri"/>
                <w:sz w:val="22"/>
              </w:rPr>
              <w:t>RSU/DSU Tax Withholding (Code F)</w:t>
            </w:r>
          </w:p>
        </w:tc>
        <w:tc>
          <w:tcPr>
            <w:tcW w:type="dxa" w:w="1440"/>
          </w:tcPr>
          <w:p>
            <w:r>
              <w:rPr>
                <w:rFonts w:ascii="Calibri" w:hAnsi="Calibri"/>
                <w:sz w:val="22"/>
              </w:rPr>
              <w:t>Various</w:t>
            </w:r>
          </w:p>
        </w:tc>
        <w:tc>
          <w:tcPr>
            <w:tcW w:type="dxa" w:w="1440"/>
          </w:tcPr>
          <w:p>
            <w:r>
              <w:rPr>
                <w:rFonts w:ascii="Calibri" w:hAnsi="Calibri"/>
                <w:sz w:val="22"/>
              </w:rPr>
              <w:t>Apr–Jul 2026</w:t>
            </w:r>
          </w:p>
        </w:tc>
        <w:tc>
          <w:tcPr>
            <w:tcW w:type="dxa" w:w="1440"/>
          </w:tcPr>
          <w:p>
            <w:r>
              <w:rPr>
                <w:rFonts w:ascii="Calibri" w:hAnsi="Calibri"/>
                <w:sz w:val="22"/>
              </w:rPr>
              <w:t>Mandatory tax withholding upon RSU/DSU vesting; not discretionary</w:t>
            </w:r>
          </w:p>
        </w:tc>
      </w:tr>
      <w:tr>
        <w:tc>
          <w:tcPr>
            <w:tcW w:type="dxa" w:w="1440"/>
          </w:tcPr>
          <w:p>
            <w:r>
              <w:rPr>
                <w:rFonts w:ascii="Calibri" w:hAnsi="Calibri"/>
                <w:sz w:val="22"/>
              </w:rPr>
              <w:t>Multiple Insiders</w:t>
            </w:r>
          </w:p>
        </w:tc>
        <w:tc>
          <w:tcPr>
            <w:tcW w:type="dxa" w:w="1440"/>
          </w:tcPr>
          <w:p>
            <w:r>
              <w:rPr>
                <w:rFonts w:ascii="Calibri" w:hAnsi="Calibri"/>
                <w:sz w:val="22"/>
              </w:rPr>
              <w:t>Various</w:t>
            </w:r>
          </w:p>
        </w:tc>
        <w:tc>
          <w:tcPr>
            <w:tcW w:type="dxa" w:w="1440"/>
          </w:tcPr>
          <w:p>
            <w:r>
              <w:rPr>
                <w:rFonts w:ascii="Calibri" w:hAnsi="Calibri"/>
                <w:sz w:val="22"/>
              </w:rPr>
              <w:t>DSU Dividend Accrual (Code A)</w:t>
            </w:r>
          </w:p>
        </w:tc>
        <w:tc>
          <w:tcPr>
            <w:tcW w:type="dxa" w:w="1440"/>
          </w:tcPr>
          <w:p>
            <w:r>
              <w:rPr>
                <w:rFonts w:ascii="Calibri" w:hAnsi="Calibri"/>
                <w:sz w:val="22"/>
              </w:rPr>
              <w:t>Various</w:t>
            </w:r>
          </w:p>
        </w:tc>
        <w:tc>
          <w:tcPr>
            <w:tcW w:type="dxa" w:w="1440"/>
          </w:tcPr>
          <w:p>
            <w:r>
              <w:rPr>
                <w:rFonts w:ascii="Calibri" w:hAnsi="Calibri"/>
                <w:sz w:val="22"/>
              </w:rPr>
              <w:t>Apr–Jul 2026</w:t>
            </w:r>
          </w:p>
        </w:tc>
        <w:tc>
          <w:tcPr>
            <w:tcW w:type="dxa" w:w="1440"/>
          </w:tcPr>
          <w:p>
            <w:r>
              <w:rPr>
                <w:rFonts w:ascii="Calibri" w:hAnsi="Calibri"/>
                <w:sz w:val="22"/>
              </w:rPr>
              <w:t>Automatic accrual of dividend-equivalent DSUs on RSUs; non-discretionary</w:t>
            </w:r>
          </w:p>
        </w:tc>
      </w:tr>
      <w:tr>
        <w:tc>
          <w:tcPr>
            <w:tcW w:type="dxa" w:w="1440"/>
          </w:tcPr>
          <w:p>
            <w:r>
              <w:rPr>
                <w:rFonts w:ascii="Calibri" w:hAnsi="Calibri"/>
                <w:sz w:val="22"/>
              </w:rPr>
              <w:t>Multiple Insiders</w:t>
            </w:r>
          </w:p>
        </w:tc>
        <w:tc>
          <w:tcPr>
            <w:tcW w:type="dxa" w:w="1440"/>
          </w:tcPr>
          <w:p>
            <w:r>
              <w:rPr>
                <w:rFonts w:ascii="Calibri" w:hAnsi="Calibri"/>
                <w:sz w:val="22"/>
              </w:rPr>
              <w:t>Various</w:t>
            </w:r>
          </w:p>
        </w:tc>
        <w:tc>
          <w:tcPr>
            <w:tcW w:type="dxa" w:w="1440"/>
          </w:tcPr>
          <w:p>
            <w:r>
              <w:rPr>
                <w:rFonts w:ascii="Calibri" w:hAnsi="Calibri"/>
                <w:sz w:val="22"/>
              </w:rPr>
              <w:t>401(k) Plan Acquisition</w:t>
            </w:r>
          </w:p>
        </w:tc>
        <w:tc>
          <w:tcPr>
            <w:tcW w:type="dxa" w:w="1440"/>
          </w:tcPr>
          <w:p>
            <w:r>
              <w:rPr>
                <w:rFonts w:ascii="Calibri" w:hAnsi="Calibri"/>
                <w:sz w:val="22"/>
              </w:rPr>
              <w:t>Various</w:t>
            </w:r>
          </w:p>
        </w:tc>
        <w:tc>
          <w:tcPr>
            <w:tcW w:type="dxa" w:w="1440"/>
          </w:tcPr>
          <w:p>
            <w:r>
              <w:rPr>
                <w:rFonts w:ascii="Calibri" w:hAnsi="Calibri"/>
                <w:sz w:val="22"/>
              </w:rPr>
              <w:t>Apr–Jul 2026</w:t>
            </w:r>
          </w:p>
        </w:tc>
        <w:tc>
          <w:tcPr>
            <w:tcW w:type="dxa" w:w="1440"/>
          </w:tcPr>
          <w:p>
            <w:r>
              <w:rPr>
                <w:rFonts w:ascii="Calibri" w:hAnsi="Calibri"/>
                <w:sz w:val="22"/>
              </w:rPr>
              <w:t>Shares acquired under 401(k) plan; exempt from reporting requirements</w:t>
            </w:r>
          </w:p>
        </w:tc>
      </w:tr>
    </w:tbl>
    <w:p>
      <w:r>
        <w:rPr>
          <w:rFonts w:ascii="Calibri" w:hAnsi="Calibri"/>
          <w:color w:val="525866"/>
          <w:sz w:val="22"/>
        </w:rPr>
        <w:t>No open-market purchases (Code P), open-market sales (Code S), or 10b5-1 plan initiations were identified in the review period. Source: SEC Form 4 filings reviewed via SEC EDGAR (April 22 – July 28,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