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rtx-earnings-predictions--2026-08-03"/>
    <w:p>
      <w:pPr>
        <w:pStyle w:val="Heading1"/>
      </w:pPr>
      <w:r>
        <w:t xml:space="preserve">VRTX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~$3.28B vs. cons $3.23B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~$5.00 vs. cons $4.85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JOURNAVX (suzetrigine)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48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62M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total revenue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12.95</m:t>
              </m:r>
              <m:r>
                <m:rPr>
                  <m:sty m:val="p"/>
                </m:rPr>
                <m:t>−</m:t>
              </m:r>
              <m:r>
                <m:t>13.1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13.0B (FY26, ex-Crinetics until Q3 close)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EPS (Crinetics dilution)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16.4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17.01 (FY26, once Crinetics folds in)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non-CF product revenue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500</m:t>
              </m:r>
              <m:r>
                <m:t>M</m:t>
              </m:r>
              <m:r>
                <m:rPr>
                  <m:sty m:val="p"/>
                </m:rPr>
                <m:t>+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500M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combined non-GAAP OpEx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5.65</m:t>
              </m:r>
              <m:r>
                <m:rPr>
                  <m:sty m:val="p"/>
                </m:rPr>
                <m:t>−</m:t>
              </m:r>
              <m:r>
                <m:t>5.75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5.70B (FY26, pre-deal)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Headline is a modest beat/reiterate that's largely priced in a range-bound, low-beta (~0.19) name, so the reaction hinges on the JOURNAVX revenue-vs-script gap and Crinetics dilution overhang. A soft JOURNAVX print keeps the 'show-me' H2 inflection unproven and pressures out-period pain-franchise estimates, while Crinetics (accretive only in 2029) drags FY EPS revisions lower — implicit cuts pull estimates down even after a top-line beat, so an initial dip should modestly follow through rather than reverse. CF durability limits the downside but isn't enough to spark a rebound.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2026-08-03T00:14:02Z</dcterms:created>
  <dcterms:modified xsi:type="dcterms:W3CDTF">2026-08-03T00:14:02Z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