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VRTX before writing the preview. Let me pull recent filings, transcripts, news, and price data.Let me get the latest news and any recent catalysts (Pove FDA decision, consensus estimates) via web search and daily news.# Vertex Pharmaceuticals (VRTX) — Q2 2026 Earnings Preview</w:t>
      </w:r>
      <w:r>
        <w:t xml:space="preserve"> </w:t>
      </w:r>
      <w:r>
        <w:rPr>
          <w:i/>
          <w:iCs/>
        </w:rPr>
        <w:t xml:space="preserve">Reports Monday, August 3, 2026 after market close (4:30 p.m. ET call)</w:t>
      </w:r>
    </w:p>
    <w:p>
      <w:r>
        <w:pict>
          <v:rect style="width:0;height:1.5pt" o:hralign="center" o:hrstd="t" o:hr="t"/>
        </w:pict>
      </w:r>
    </w:p>
    <w:bookmarkStart w:id="9" w:name="the-setup"/>
    <w:p>
      <w:pPr>
        <w:pStyle w:val="Heading2"/>
      </w:pPr>
      <w:r>
        <w:t xml:space="preserve">The Setup</w:t>
      </w:r>
    </w:p>
    <w:p>
      <w:pPr>
        <w:pStyle w:val="FirstParagraph"/>
      </w:pPr>
      <w:r>
        <w:t xml:space="preserve">Vertex heads into its Q2 print as a company in transition — no longer a pure cystic fibrosis (CF) story, but a diversifying multi-franchise biopharma with two new commercial launches ramping, a first-in-class nephrology drug (povetacicept) months from a launch decision, and a fresh ~$10B M&amp;A deal to digest.</w:t>
      </w:r>
    </w:p>
    <w:p>
      <w:pPr>
        <w:pStyle w:val="BodyText"/>
      </w:pPr>
      <w:r>
        <w:rPr>
          <w:b/>
          <w:bCs/>
        </w:rPr>
        <w:t xml:space="preserve">Consensus expectations (Q2 2026):</w:t>
      </w:r>
      <w:r>
        <w:t xml:space="preserve"> </w:t>
      </w:r>
      <w:r>
        <w:t xml:space="preserve">| Metric | Consensus | Y/Y |</w:t>
      </w:r>
      <w:r>
        <w:t xml:space="preserve"> </w:t>
      </w:r>
      <w:r>
        <w:t xml:space="preserve">|---|---|---|</w:t>
      </w:r>
      <w:r>
        <w:t xml:space="preserve"> </w:t>
      </w:r>
      <w:r>
        <w:t xml:space="preserve">| Total revenue | ~$3.23B | ~+9% (vs.</w:t>
      </w:r>
      <w:r>
        <w:t xml:space="preserve"> </w:t>
      </w:r>
      <m:oMath>
        <m:r>
          <m:t>2.96</m:t>
        </m:r>
        <m:r>
          <m:t>B</m:t>
        </m:r>
        <m:r>
          <m:t>i</m:t>
        </m:r>
        <m:r>
          <m:t>n</m:t>
        </m:r>
        <m:r>
          <m:t>Q</m:t>
        </m:r>
        <m:sSup>
          <m:e>
            <m:r>
              <m:t>2</m:t>
            </m:r>
          </m:e>
          <m:sup>
            <m:r>
              <m:rPr>
                <m:sty m:val="p"/>
              </m:rPr>
              <m:t>′</m:t>
            </m:r>
          </m:sup>
        </m:sSup>
        <m:r>
          <m:t>25</m:t>
        </m:r>
        <m:r>
          <m:rPr>
            <m:sty m:val="p"/>
          </m:rPr>
          <m:t>)</m:t>
        </m:r>
        <m:r>
          <m:rPr>
            <m:sty m:val="p"/>
          </m:rPr>
          <m:t>|</m:t>
        </m:r>
        <m:r>
          <m:rPr>
            <m:sty m:val="p"/>
          </m:rPr>
          <m:t>|</m:t>
        </m:r>
        <m:r>
          <m:t>N</m:t>
        </m:r>
        <m:r>
          <m:t>o</m:t>
        </m:r>
        <m:r>
          <m:t>n</m:t>
        </m:r>
        <m:r>
          <m:rPr>
            <m:sty m:val="p"/>
          </m:rPr>
          <m:t>−</m:t>
        </m:r>
        <m:r>
          <m:t>G</m:t>
        </m:r>
        <m:r>
          <m:t>A</m:t>
        </m:r>
        <m:r>
          <m:t>A</m:t>
        </m:r>
        <m:r>
          <m:t>P</m:t>
        </m:r>
        <m:r>
          <m:t>E</m:t>
        </m:r>
        <m:r>
          <m:t>P</m:t>
        </m:r>
        <m:r>
          <m:t>S</m:t>
        </m:r>
        <m:r>
          <m:rPr>
            <m:sty m:val="p"/>
          </m:rPr>
          <m:t>|</m:t>
        </m:r>
        <m:r>
          <m:t> </m:t>
        </m:r>
      </m:oMath>
      <w:r>
        <w:t xml:space="preserve">4.85 | ~+7% |</w:t>
      </w:r>
      <w:r>
        <w:t xml:space="preserve"> </w:t>
      </w:r>
      <w:r>
        <w:t xml:space="preserve">| FY26 EPS (Street) | ~$17.01 | — |</w:t>
      </w:r>
    </w:p>
    <w:p>
      <w:pPr>
        <w:pStyle w:val="BodyText"/>
      </w:pPr>
      <w:r>
        <w:t xml:space="preserve">The bar is set roughly in line with the trajectory management laid out on the Q1 call, where they</w:t>
      </w:r>
      <w:r>
        <w:t xml:space="preserve"> </w:t>
      </w:r>
      <w:r>
        <w:rPr>
          <w:b/>
          <w:bCs/>
        </w:rPr>
        <w:t xml:space="preserve">reiterated</w:t>
      </w:r>
      <w:r>
        <w:t xml:space="preserve"> </w:t>
      </w:r>
      <w:r>
        <w:t xml:space="preserve">FY26 guidance: total revenue of</w:t>
      </w:r>
      <w:r>
        <w:t xml:space="preserve"> </w:t>
      </w:r>
      <m:oMath>
        <m:r>
          <m:t>12.95</m:t>
        </m:r>
        <m:r>
          <m:rPr>
            <m:sty m:val="p"/>
          </m:rPr>
          <m:t>–</m:t>
        </m:r>
        <m:r>
          <m:t>13.1</m:t>
        </m:r>
        <m:r>
          <m:t>B</m:t>
        </m:r>
        <m:r>
          <m:rPr>
            <m:sty m:val="p"/>
          </m:rPr>
          <m:t>(</m:t>
        </m:r>
        <m:r>
          <m:rPr>
            <m:sty m:val="p"/>
          </m:rPr>
          <m:t>+</m:t>
        </m:r>
        <m:r>
          <m:t>8</m:t>
        </m:r>
        <m:r>
          <m:rPr>
            <m:sty m:val="p"/>
          </m:rPr>
          <m:t>–</m:t>
        </m:r>
        <m:r>
          <m:t>9</m:t>
        </m:r>
      </m:oMath>
      <w:r>
        <w:rPr>
          <w:b/>
          <w:bCs/>
        </w:rPr>
        <w:t xml:space="preserve">500M+ in non-CF product revenue</w:t>
      </w:r>
      <w:r>
        <w:t xml:space="preserve">, combined non-GAAP OpEx of</w:t>
      </w:r>
      <w:r>
        <w:t xml:space="preserve"> </w:t>
      </w:r>
      <w:r>
        <w:rPr>
          <w:b/>
          <w:bCs/>
        </w:rPr>
        <w:t xml:space="preserve">$5.65–5.75B</w:t>
      </w:r>
      <w:r>
        <w:t xml:space="preserve">, gross margin</w:t>
      </w:r>
      <w:r>
        <w:t xml:space="preserve"> </w:t>
      </w:r>
      <w:r>
        <w:rPr>
          <w:b/>
          <w:bCs/>
        </w:rPr>
        <w:t xml:space="preserve">just under 86%</w:t>
      </w:r>
      <w:r>
        <w:t xml:space="preserve">, and a non-GAAP tax rate of</w:t>
      </w:r>
      <w:r>
        <w:t xml:space="preserve"> </w:t>
      </w:r>
      <w:r>
        <w:rPr>
          <w:b/>
          <w:bCs/>
        </w:rPr>
        <w:t xml:space="preserve">19.5–20.5%</w:t>
      </w:r>
      <w:r>
        <w:t xml:space="preserve">.</w:t>
      </w:r>
    </w:p>
    <w:p>
      <w:pPr>
        <w:pStyle w:val="BodyText"/>
      </w:pPr>
      <w:r>
        <w:rPr>
          <w:b/>
          <w:bCs/>
        </w:rPr>
        <w:t xml:space="preserve">Stock context:</w:t>
      </w:r>
      <w:r>
        <w:t xml:space="preserve"> </w:t>
      </w:r>
      <w:r>
        <w:t xml:space="preserve">VRTX closed ~$477 on July 31, down from an early-July peak near</w:t>
      </w:r>
      <w:r>
        <w:t xml:space="preserve"> </w:t>
      </w:r>
      <m:oMath>
        <m:r>
          <m:t>530</m:t>
        </m:r>
        <m:r>
          <m:rPr>
            <m:sty m:val="p"/>
          </m:rPr>
          <m:t>.</m:t>
        </m:r>
        <m:r>
          <m:t>S</m:t>
        </m:r>
        <m:r>
          <m:t>h</m:t>
        </m:r>
        <m:r>
          <m:t>a</m:t>
        </m:r>
        <m:r>
          <m:t>r</m:t>
        </m:r>
        <m:r>
          <m:t>e</m:t>
        </m:r>
        <m:r>
          <m:t>s</m:t>
        </m:r>
        <m:r>
          <m:t>s</m:t>
        </m:r>
        <m:r>
          <m:t>p</m:t>
        </m:r>
        <m:r>
          <m:t>i</m:t>
        </m:r>
        <m:r>
          <m:t>k</m:t>
        </m:r>
        <m:r>
          <m:t>e</m:t>
        </m:r>
        <m:r>
          <m:t>d</m:t>
        </m:r>
        <m:r>
          <m:t>t</m:t>
        </m:r>
        <m:r>
          <m:t>o</m:t>
        </m:r>
        <m:r>
          <m:t> </m:t>
        </m:r>
      </m:oMath>
      <w:r>
        <w:t xml:space="preserve">528 on July 2, then drifted lower after the July 6 Crinetics acquisition announcement (shares dipped ~1–2% on the deal). The stock is up only modestly YTD and has essentially been range-bound in the $425–530 band all year — reflecting a market waiting on the JOURNAVX ramp, the Pove launch, and clarity on capital allocation.</w:t>
      </w:r>
    </w:p>
    <w:p>
      <w:r>
        <w:pict>
          <v:rect style="width:0;height:1.5pt" o:hralign="center" o:hrstd="t" o:hr="t"/>
        </w:pict>
      </w:r>
    </w:p>
    <w:bookmarkEnd w:id="9"/>
    <w:bookmarkStart w:id="10" w:name="X784851e0997593b8c63a0b9c38904265c2f91a5"/>
    <w:p>
      <w:pPr>
        <w:pStyle w:val="Heading2"/>
      </w:pPr>
      <w:r>
        <w:t xml:space="preserve">The Big New Variable: The Crinetics Acquisition</w:t>
      </w:r>
    </w:p>
    <w:p>
      <w:pPr>
        <w:pStyle w:val="FirstParagraph"/>
      </w:pPr>
      <w:r>
        <w:t xml:space="preserve">The most important item since the last print is the</w:t>
      </w:r>
      <w:r>
        <w:t xml:space="preserve"> </w:t>
      </w:r>
      <m:oMath>
        <m:r>
          <m:t>10</m:t>
        </m:r>
        <m:r>
          <m:t>B</m:t>
        </m:r>
        <m:r>
          <m:t>a</m:t>
        </m:r>
        <m:r>
          <m:t>l</m:t>
        </m:r>
        <m:r>
          <m:t>l</m:t>
        </m:r>
        <m:r>
          <m:rPr>
            <m:sty m:val="p"/>
          </m:rPr>
          <m:t>−</m:t>
        </m:r>
        <m:r>
          <m:t>c</m:t>
        </m:r>
        <m:r>
          <m:t>a</m:t>
        </m:r>
        <m:r>
          <m:t>s</m:t>
        </m:r>
        <m:r>
          <m:t>h</m:t>
        </m:r>
        <m:r>
          <m:t>a</m:t>
        </m:r>
        <m:r>
          <m:t>c</m:t>
        </m:r>
        <m:r>
          <m:t>q</m:t>
        </m:r>
        <m:r>
          <m:t>u</m:t>
        </m:r>
        <m:r>
          <m:t>i</m:t>
        </m:r>
        <m:r>
          <m:t>s</m:t>
        </m:r>
        <m:r>
          <m:t>i</m:t>
        </m:r>
        <m:r>
          <m:t>t</m:t>
        </m:r>
        <m:r>
          <m:t>i</m:t>
        </m:r>
        <m:r>
          <m:t>o</m:t>
        </m:r>
        <m:r>
          <m:t>n</m:t>
        </m:r>
        <m:r>
          <m:t>o</m:t>
        </m:r>
        <m:r>
          <m:t>f</m:t>
        </m:r>
        <m:r>
          <m:t>C</m:t>
        </m:r>
        <m:r>
          <m:t>r</m:t>
        </m:r>
        <m:r>
          <m:t>i</m:t>
        </m:r>
        <m:r>
          <m:t>n</m:t>
        </m:r>
        <m:r>
          <m:t>e</m:t>
        </m:r>
        <m:r>
          <m:t>t</m:t>
        </m:r>
        <m:r>
          <m:t>i</m:t>
        </m:r>
        <m:r>
          <m:t>c</m:t>
        </m:r>
        <m:r>
          <m:t>s</m:t>
        </m:r>
        <m:r>
          <m:t>P</m:t>
        </m:r>
        <m:r>
          <m:t>h</m:t>
        </m:r>
        <m:r>
          <m:t>a</m:t>
        </m:r>
        <m:r>
          <m:t>r</m:t>
        </m:r>
        <m:r>
          <m:t>m</m:t>
        </m:r>
        <m:r>
          <m:t>a</m:t>
        </m:r>
        <m:r>
          <m:t>c</m:t>
        </m:r>
        <m:r>
          <m:t>e</m:t>
        </m:r>
        <m:r>
          <m:t>u</m:t>
        </m:r>
        <m:r>
          <m:t>t</m:t>
        </m:r>
        <m:r>
          <m:t>i</m:t>
        </m:r>
        <m:r>
          <m:t>c</m:t>
        </m:r>
        <m:r>
          <m:t>a</m:t>
        </m:r>
        <m:r>
          <m:t>l</m:t>
        </m:r>
        <m:r>
          <m:t>s</m:t>
        </m:r>
        <m:r>
          <m:rPr>
            <m:sty m:val="p"/>
          </m:rPr>
          <m:t>(</m:t>
        </m:r>
      </m:oMath>
      <w:r>
        <w:rPr>
          <w:b/>
          <w:bCs/>
        </w:rPr>
        <w:t xml:space="preserve">85/share, ~$8.8B net of cash)</w:t>
      </w:r>
      <w:r>
        <w:t xml:space="preserve">, announced July 6 and expected to close in Q3 2026. This is the single biggest strategic move and likely a major focus of the call.</w:t>
      </w:r>
    </w:p>
    <w:p>
      <w:pPr>
        <w:pStyle w:val="BodyText"/>
      </w:pPr>
      <w:r>
        <w:t xml:space="preserve">What investors need to know:</w:t>
      </w:r>
    </w:p>
    <w:p>
      <w:pPr>
        <w:pStyle w:val="Compact"/>
        <w:numPr>
          <w:ilvl w:val="0"/>
          <w:numId w:val="1001"/>
        </w:numPr>
      </w:pPr>
      <w:r>
        <w:rPr>
          <w:b/>
          <w:bCs/>
        </w:rPr>
        <w:t xml:space="preserve">Adds a new endocrine franchise</w:t>
      </w:r>
      <w:r>
        <w:t xml:space="preserve">: PALSONIFY (paltusotine), the first once-daily oral therapy for acromegaly (FDA-approved Sept 2025, ~20,000 U.S. patients), plus late-stage</w:t>
      </w:r>
      <w:r>
        <w:t xml:space="preserve"> </w:t>
      </w:r>
      <w:r>
        <w:rPr>
          <w:b/>
          <w:bCs/>
        </w:rPr>
        <w:t xml:space="preserve">atumelnant</w:t>
      </w:r>
      <w:r>
        <w:t xml:space="preserve"> </w:t>
      </w:r>
      <w:r>
        <w:t xml:space="preserve">for congenital adrenal hyperplasia (CAH), a potential multi-billion-dollar asset with Cushing's syndrome upside.</w:t>
      </w:r>
    </w:p>
    <w:p>
      <w:pPr>
        <w:pStyle w:val="Compact"/>
        <w:numPr>
          <w:ilvl w:val="0"/>
          <w:numId w:val="1001"/>
        </w:numPr>
      </w:pPr>
      <w:r>
        <w:rPr>
          <w:b/>
          <w:bCs/>
        </w:rPr>
        <w:t xml:space="preserve">Financials</w:t>
      </w:r>
      <w:r>
        <w:t xml:space="preserve">: management frames &gt;$5B in combined peak annual revenue, but the deal is</w:t>
      </w:r>
      <w:r>
        <w:t xml:space="preserve"> </w:t>
      </w:r>
      <w:r>
        <w:rPr>
          <w:b/>
          <w:bCs/>
        </w:rPr>
        <w:t xml:space="preserve">dilutive initially</w:t>
      </w:r>
      <w:r>
        <w:t xml:space="preserve"> </w:t>
      </w:r>
      <w:r>
        <w:t xml:space="preserve">and only expected to be</w:t>
      </w:r>
      <w:r>
        <w:t xml:space="preserve"> </w:t>
      </w:r>
      <w:r>
        <w:rPr>
          <w:b/>
          <w:bCs/>
        </w:rPr>
        <w:t xml:space="preserve">accretive to non-GAAP operating income in 2029</w:t>
      </w:r>
      <w:r>
        <w:t xml:space="preserve">.</w:t>
      </w:r>
    </w:p>
    <w:p>
      <w:pPr>
        <w:pStyle w:val="Compact"/>
        <w:numPr>
          <w:ilvl w:val="0"/>
          <w:numId w:val="1001"/>
        </w:numPr>
      </w:pPr>
      <w:r>
        <w:rPr>
          <w:b/>
          <w:bCs/>
        </w:rPr>
        <w:t xml:space="preserve">Financing</w:t>
      </w:r>
      <w:r>
        <w:t xml:space="preserve">: cash on hand plus debt, backed by a **</w:t>
      </w:r>
      <m:oMath>
        <m:r>
          <m:t>4.5</m:t>
        </m:r>
        <m:r>
          <m:t>B</m:t>
        </m:r>
        <m:r>
          <m:t>c</m:t>
        </m:r>
        <m:r>
          <m:t>o</m:t>
        </m:r>
        <m:r>
          <m:t>m</m:t>
        </m:r>
        <m:r>
          <m:t>m</m:t>
        </m:r>
        <m:r>
          <m:t>i</m:t>
        </m:r>
        <m:r>
          <m:t>t</m:t>
        </m:r>
        <m:r>
          <m:t>t</m:t>
        </m:r>
        <m:r>
          <m:t>e</m:t>
        </m:r>
        <m:r>
          <m:t>d</m:t>
        </m:r>
        <m:r>
          <m:t>b</m:t>
        </m:r>
        <m:r>
          <m:t>r</m:t>
        </m:r>
        <m:r>
          <m:t>i</m:t>
        </m:r>
        <m:r>
          <m:t>d</m:t>
        </m:r>
        <m:r>
          <m:t>g</m:t>
        </m:r>
        <m:r>
          <m:t>e</m:t>
        </m:r>
        <m:r>
          <m:rPr>
            <m:sty m:val="p"/>
          </m:rPr>
          <m:t>*</m:t>
        </m:r>
        <m:r>
          <m:rPr>
            <m:sty m:val="p"/>
          </m:rPr>
          <m:t>*</m:t>
        </m:r>
        <m:r>
          <m:rPr>
            <m:sty m:val="p"/>
          </m:rPr>
          <m:t>.</m:t>
        </m:r>
        <m:r>
          <m:t>V</m:t>
        </m:r>
        <m:r>
          <m:t>e</m:t>
        </m:r>
        <m:r>
          <m:t>r</m:t>
        </m:r>
        <m:r>
          <m:t>t</m:t>
        </m:r>
        <m:r>
          <m:t>e</m:t>
        </m:r>
        <m:r>
          <m:t>x</m:t>
        </m:r>
        <m:r>
          <m:t>e</m:t>
        </m:r>
        <m:r>
          <m:t>n</m:t>
        </m:r>
        <m:r>
          <m:t>d</m:t>
        </m:r>
        <m:r>
          <m:t>e</m:t>
        </m:r>
        <m:r>
          <m:t>d</m:t>
        </m:r>
        <m:r>
          <m:t>Q</m:t>
        </m:r>
        <m:r>
          <m:t>1</m:t>
        </m:r>
        <m:r>
          <m:t>w</m:t>
        </m:r>
        <m:r>
          <m:t>i</m:t>
        </m:r>
        <m:r>
          <m:t>t</m:t>
        </m:r>
        <m:r>
          <m:t>h</m:t>
        </m:r>
        <m:r>
          <m:t> </m:t>
        </m:r>
      </m:oMath>
      <w:r>
        <w:t xml:space="preserve">13B cash/investments — so watch for commentary on how the deal reshapes the balance sheet and whether the ~$344M/quarter buyback pace (741K shares in Q1) gets throttled.</w:t>
      </w:r>
    </w:p>
    <w:p>
      <w:pPr>
        <w:pStyle w:val="FirstParagraph"/>
      </w:pPr>
      <w:r>
        <w:rPr>
          <w:b/>
          <w:bCs/>
        </w:rPr>
        <w:t xml:space="preserve">Watch:</w:t>
      </w:r>
      <w:r>
        <w:t xml:space="preserve"> </w:t>
      </w:r>
      <w:r>
        <w:t xml:space="preserve">Any revised FY26 guidance to reflect the closing (revenue contribution, incremental OpEx/interest expense, EPS dilution), and integration commentary.</w:t>
      </w:r>
    </w:p>
    <w:p>
      <w:r>
        <w:pict>
          <v:rect style="width:0;height:1.5pt" o:hralign="center" o:hrstd="t" o:hr="t"/>
        </w:pict>
      </w:r>
    </w:p>
    <w:bookmarkEnd w:id="10"/>
    <w:bookmarkStart w:id="15" w:name="franchise-by-franchise-what-matters"/>
    <w:p>
      <w:pPr>
        <w:pStyle w:val="Heading2"/>
      </w:pPr>
      <w:r>
        <w:t xml:space="preserve">Franchise-by-Franchise: What Matters</w:t>
      </w:r>
    </w:p>
    <w:bookmarkStart w:id="11" w:name="Xf3ea42901dc9275cd658c6ab2f97b186d0a8d36"/>
    <w:p>
      <w:pPr>
        <w:pStyle w:val="Heading3"/>
      </w:pPr>
      <w:r>
        <w:t xml:space="preserve">1. Povetacicept (Pove) — the crown jewel catalyst</w:t>
      </w:r>
    </w:p>
    <w:p>
      <w:pPr>
        <w:pStyle w:val="FirstParagraph"/>
      </w:pPr>
      <w:r>
        <w:t xml:space="preserve">This is the near-term stock driver. After a "sparkling" RAINIER Phase 3 interim analysis in IgA nephropathy (52% proteinuria reduction from baseline; ~50% vs. placebo), the BLA was accepted with a</w:t>
      </w:r>
      <w:r>
        <w:t xml:space="preserve"> </w:t>
      </w:r>
      <w:r>
        <w:rPr>
          <w:b/>
          <w:bCs/>
        </w:rPr>
        <w:t xml:space="preserve">PDUFA date of November 30, 2026</w:t>
      </w:r>
      <w:r>
        <w:t xml:space="preserve"> </w:t>
      </w:r>
      <w:r>
        <w:t xml:space="preserve">— putting Pove on track to be the first commercialized drug in Vertex's fourth franchise (nephrology).</w:t>
      </w:r>
    </w:p>
    <w:p>
      <w:pPr>
        <w:pStyle w:val="Compact"/>
        <w:numPr>
          <w:ilvl w:val="0"/>
          <w:numId w:val="1002"/>
        </w:numPr>
      </w:pPr>
      <w:r>
        <w:rPr>
          <w:b/>
          <w:bCs/>
        </w:rPr>
        <w:t xml:space="preserve">Watch:</w:t>
      </w:r>
      <w:r>
        <w:t xml:space="preserve"> </w:t>
      </w:r>
      <w:r>
        <w:t xml:space="preserve">launch-readiness commentary, sales force build-out, payer conversations (~70% of IgAN patients commercially covered), and how Vertex plans to overcome first-mover competitors with its "trifecta" pitch (dual BAFF/APRIL inhibition, favorable safety, monthly subcu auto-injector).</w:t>
      </w:r>
    </w:p>
    <w:p>
      <w:pPr>
        <w:pStyle w:val="Compact"/>
        <w:numPr>
          <w:ilvl w:val="0"/>
          <w:numId w:val="1002"/>
        </w:numPr>
      </w:pPr>
      <w:r>
        <w:rPr>
          <w:b/>
          <w:bCs/>
        </w:rPr>
        <w:t xml:space="preserve">Upcoming:</w:t>
      </w:r>
      <w:r>
        <w:t xml:space="preserve"> </w:t>
      </w:r>
      <w:r>
        <w:t xml:space="preserve">full RAINIER data at fall medical meetings; Phase 3 in primary membranous nephropathy (OLYMPUS) and Phase 2 in generalized myasthenia gravis underway — reinforcing the "pipeline-in-a-product" thesis. Management has floated basket studies for additional B-cell diseases.</w:t>
      </w:r>
    </w:p>
    <w:bookmarkEnd w:id="11"/>
    <w:bookmarkStart w:id="12" w:name="X71c40bd5bc204ea36a69ed067c0b52baa3ffed2"/>
    <w:p>
      <w:pPr>
        <w:pStyle w:val="Heading3"/>
      </w:pPr>
      <w:r>
        <w:t xml:space="preserve">2. Cystic Fibrosis — the cash engine, in mix shift</w:t>
      </w:r>
    </w:p>
    <w:p>
      <w:pPr>
        <w:pStyle w:val="FirstParagraph"/>
      </w:pPr>
      <w:r>
        <w:t xml:space="preserve">CF grew ~6% globally in Q1. The key dynamic is the</w:t>
      </w:r>
      <w:r>
        <w:t xml:space="preserve"> </w:t>
      </w:r>
      <w:r>
        <w:rPr>
          <w:b/>
          <w:bCs/>
        </w:rPr>
        <w:t xml:space="preserve">ALYFTREK-for-TRIKAFTA transition</w:t>
      </w:r>
      <w:r>
        <w:t xml:space="preserve">: TRIKAFTA/KAFTRIO was $2.35B in Q1 (declining y/y) while ALYFTREK hit $424M and surpassed $1B cumulative. All new/young patients are going onto ALYFTREK.</w:t>
      </w:r>
    </w:p>
    <w:p>
      <w:pPr>
        <w:pStyle w:val="Compact"/>
        <w:numPr>
          <w:ilvl w:val="0"/>
          <w:numId w:val="1003"/>
        </w:numPr>
      </w:pPr>
      <w:r>
        <w:rPr>
          <w:b/>
          <w:bCs/>
        </w:rPr>
        <w:t xml:space="preserve">Growth drivers into H2:</w:t>
      </w:r>
      <w:r>
        <w:t xml:space="preserve"> </w:t>
      </w:r>
      <w:r>
        <w:t xml:space="preserve">the U.S. label expansion (~800 newly eligible patients, ~95% of CF now covered), pediatric expansions (ALYFTREK 2–5 yrs and TRIKAFTA 1–2 yrs filings), and ex-U.S. ALYFTREK reimbursement wins (11 countries in Q1 alone).</w:t>
      </w:r>
    </w:p>
    <w:p>
      <w:pPr>
        <w:pStyle w:val="Compact"/>
        <w:numPr>
          <w:ilvl w:val="0"/>
          <w:numId w:val="1003"/>
        </w:numPr>
      </w:pPr>
      <w:r>
        <w:rPr>
          <w:b/>
          <w:bCs/>
        </w:rPr>
        <w:t xml:space="preserve">Watch:</w:t>
      </w:r>
      <w:r>
        <w:t xml:space="preserve"> </w:t>
      </w:r>
      <w:r>
        <w:t xml:space="preserve">net price trends and whether the transition remains as clean as guided.</w:t>
      </w:r>
    </w:p>
    <w:bookmarkEnd w:id="12"/>
    <w:bookmarkStart w:id="13" w:name="X55cb33b35c54341ff49664f0298d6e8edc7cc5b"/>
    <w:p>
      <w:pPr>
        <w:pStyle w:val="Heading3"/>
      </w:pPr>
      <w:r>
        <w:t xml:space="preserve">3. JOURNAVX (suzetrigine, acute pain) — the "show me" story</w:t>
      </w:r>
    </w:p>
    <w:p>
      <w:pPr>
        <w:pStyle w:val="FirstParagraph"/>
      </w:pPr>
      <w:r>
        <w:t xml:space="preserve">The most debated line item. Q1 posted</w:t>
      </w:r>
      <w:r>
        <w:t xml:space="preserve"> </w:t>
      </w:r>
      <w:r>
        <w:rPr>
          <w:b/>
          <w:bCs/>
        </w:rPr>
        <w:t xml:space="preserve">$29M revenue on 350K+ prescriptions</w:t>
      </w:r>
      <w:r>
        <w:t xml:space="preserve"> </w:t>
      </w:r>
      <w:r>
        <w:t xml:space="preserve">— a wide gap that reflects patient-support-program discounting and gross-to-net dynamics, plus Q1 seasonality (inventory destocking, Medicare Part D resets, fewer elective surgeries).</w:t>
      </w:r>
    </w:p>
    <w:p>
      <w:pPr>
        <w:pStyle w:val="Compact"/>
        <w:numPr>
          <w:ilvl w:val="0"/>
          <w:numId w:val="1004"/>
        </w:numPr>
      </w:pPr>
      <w:r>
        <w:rPr>
          <w:b/>
          <w:bCs/>
        </w:rPr>
        <w:t xml:space="preserve">The bull case hinges on H2 inflection</w:t>
      </w:r>
      <w:r>
        <w:t xml:space="preserve">: management insists it will</w:t>
      </w:r>
      <w:r>
        <w:t xml:space="preserve"> </w:t>
      </w:r>
      <w:r>
        <w:rPr>
          <w:b/>
          <w:bCs/>
        </w:rPr>
        <w:t xml:space="preserve">more than triple 2025's 550K scripts</w:t>
      </w:r>
      <w:r>
        <w:t xml:space="preserve"> </w:t>
      </w:r>
      <w:r>
        <w:t xml:space="preserve">and that revenue growth will</w:t>
      </w:r>
      <w:r>
        <w:t xml:space="preserve"> </w:t>
      </w:r>
      <w:r>
        <w:rPr>
          <w:b/>
          <w:bCs/>
        </w:rPr>
        <w:t xml:space="preserve">significantly outpace script growth</w:t>
      </w:r>
      <w:r>
        <w:t xml:space="preserve"> </w:t>
      </w:r>
      <w:r>
        <w:t xml:space="preserve">as gross-to-net normalizes into year-end.</w:t>
      </w:r>
    </w:p>
    <w:p>
      <w:pPr>
        <w:pStyle w:val="Compact"/>
        <w:numPr>
          <w:ilvl w:val="0"/>
          <w:numId w:val="1004"/>
        </w:numPr>
      </w:pPr>
      <w:r>
        <w:rPr>
          <w:b/>
          <w:bCs/>
        </w:rPr>
        <w:t xml:space="preserve">Progress points:</w:t>
      </w:r>
      <w:r>
        <w:t xml:space="preserve"> </w:t>
      </w:r>
      <w:r>
        <w:t xml:space="preserve">~240M lives covered, first Medicare Part D wins (2 of the big 4 plans secured), NOPAIN Act inclusion, and a doubled 300-rep field force.</w:t>
      </w:r>
    </w:p>
    <w:p>
      <w:pPr>
        <w:pStyle w:val="Compact"/>
        <w:numPr>
          <w:ilvl w:val="0"/>
          <w:numId w:val="1004"/>
        </w:numPr>
      </w:pPr>
      <w:r>
        <w:rPr>
          <w:b/>
          <w:bCs/>
        </w:rPr>
        <w:t xml:space="preserve">Watch:</w:t>
      </w:r>
      <w:r>
        <w:t xml:space="preserve"> </w:t>
      </w:r>
      <w:r>
        <w:t xml:space="preserve">Is Q2 revenue starting to accelerate? This is where a beat or miss vs. the "revenue ramp" narrative most affects sentiment.</w:t>
      </w:r>
    </w:p>
    <w:bookmarkEnd w:id="13"/>
    <w:bookmarkStart w:id="14" w:name="X1822165f4933eee151e8ed69472d9b061fd96b1"/>
    <w:p>
      <w:pPr>
        <w:pStyle w:val="Heading3"/>
      </w:pPr>
      <w:r>
        <w:t xml:space="preserve">4. CASGEVY — steady build</w:t>
      </w:r>
    </w:p>
    <w:p>
      <w:pPr>
        <w:pStyle w:val="FirstParagraph"/>
      </w:pPr>
      <w:r>
        <w:t xml:space="preserve">$43M in Q1, with 500+ patients initiated and lumpy quarter-to-quarter timing. Germany pricing agreement secured. Management has "strong visibility" and expects it to contribute meaningfully to the $500M+ non-CF target.</w:t>
      </w:r>
      <w:r>
        <w:t xml:space="preserve"> </w:t>
      </w:r>
      <w:r>
        <w:rPr>
          <w:b/>
          <w:bCs/>
        </w:rPr>
        <w:t xml:space="preserve">Watch:</w:t>
      </w:r>
      <w:r>
        <w:t xml:space="preserve"> </w:t>
      </w:r>
      <w:r>
        <w:t xml:space="preserve">infusion cadence and the pediatric (5–&lt;12 yrs) filing that received a Commissioner's National Priority Voucher.</w:t>
      </w:r>
    </w:p>
    <w:p>
      <w:r>
        <w:pict>
          <v:rect style="width:0;height:1.5pt" o:hralign="center" o:hrstd="t" o:hr="t"/>
        </w:pict>
      </w:r>
    </w:p>
    <w:bookmarkEnd w:id="14"/>
    <w:bookmarkEnd w:id="15"/>
    <w:bookmarkStart w:id="16" w:name="pipeline-catalysts-to-listen-for-h2-2026"/>
    <w:p>
      <w:pPr>
        <w:pStyle w:val="Heading2"/>
      </w:pPr>
      <w:r>
        <w:t xml:space="preserve">Pipeline Catalysts to Listen For (H2 2026)</w:t>
      </w:r>
    </w:p>
    <w:p>
      <w:pPr>
        <w:pStyle w:val="Compact"/>
        <w:numPr>
          <w:ilvl w:val="0"/>
          <w:numId w:val="1005"/>
        </w:numPr>
      </w:pPr>
      <w:r>
        <w:rPr>
          <w:b/>
          <w:bCs/>
        </w:rPr>
        <w:t xml:space="preserve">VX-828</w:t>
      </w:r>
      <w:r>
        <w:t xml:space="preserve"> </w:t>
      </w:r>
      <w:r>
        <w:t xml:space="preserve">(next-gen "3.0" CF corrector) — proof-of-concept sweat chloride/safety data expected 2H26.</w:t>
      </w:r>
    </w:p>
    <w:p>
      <w:pPr>
        <w:pStyle w:val="Compact"/>
        <w:numPr>
          <w:ilvl w:val="0"/>
          <w:numId w:val="1005"/>
        </w:numPr>
      </w:pPr>
      <w:r>
        <w:rPr>
          <w:b/>
          <w:bCs/>
        </w:rPr>
        <w:t xml:space="preserve">AMPLIFIED</w:t>
      </w:r>
      <w:r>
        <w:t xml:space="preserve"> </w:t>
      </w:r>
      <w:r>
        <w:t xml:space="preserve">(inaxaplin, APOL1-mediated kidney disease) — data 2H26; AMPLITUDE Phase 3 interim in early 2027.</w:t>
      </w:r>
    </w:p>
    <w:p>
      <w:pPr>
        <w:pStyle w:val="Compact"/>
        <w:numPr>
          <w:ilvl w:val="0"/>
          <w:numId w:val="1005"/>
        </w:numPr>
      </w:pPr>
      <w:r>
        <w:rPr>
          <w:b/>
          <w:bCs/>
        </w:rPr>
        <w:t xml:space="preserve">Zimislecel</w:t>
      </w:r>
      <w:r>
        <w:t xml:space="preserve"> </w:t>
      </w:r>
      <w:r>
        <w:t xml:space="preserve">(Type 1 diabetes) — dosing resumed after manufacturing review; updated timelines expected.</w:t>
      </w:r>
    </w:p>
    <w:p>
      <w:pPr>
        <w:pStyle w:val="Compact"/>
        <w:numPr>
          <w:ilvl w:val="0"/>
          <w:numId w:val="1005"/>
        </w:numPr>
      </w:pPr>
      <w:r>
        <w:rPr>
          <w:b/>
          <w:bCs/>
        </w:rPr>
        <w:t xml:space="preserve">Suzetrigine in diabetic peripheral neuropathy (DPN)</w:t>
      </w:r>
      <w:r>
        <w:t xml:space="preserve"> </w:t>
      </w:r>
      <w:r>
        <w:t xml:space="preserve">— Phase 3 enrollment completing by year-end; expands the pain opportunity beyond acute.</w:t>
      </w:r>
    </w:p>
    <w:p>
      <w:pPr>
        <w:pStyle w:val="Compact"/>
        <w:numPr>
          <w:ilvl w:val="0"/>
          <w:numId w:val="1005"/>
        </w:numPr>
      </w:pPr>
      <w:r>
        <w:t xml:space="preserve">Note:</w:t>
      </w:r>
      <w:r>
        <w:t xml:space="preserve"> </w:t>
      </w:r>
      <w:r>
        <w:rPr>
          <w:b/>
          <w:bCs/>
        </w:rPr>
        <w:t xml:space="preserve">VX-522</w:t>
      </w:r>
      <w:r>
        <w:t xml:space="preserve"> </w:t>
      </w:r>
      <w:r>
        <w:t xml:space="preserve">(mRNA for CF non-responders) was</w:t>
      </w:r>
      <w:r>
        <w:t xml:space="preserve"> </w:t>
      </w:r>
      <w:r>
        <w:rPr>
          <w:b/>
          <w:bCs/>
        </w:rPr>
        <w:t xml:space="preserve">discontinued</w:t>
      </w:r>
      <w:r>
        <w:t xml:space="preserve"> </w:t>
      </w:r>
      <w:r>
        <w:t xml:space="preserve">for tolerability — a reminder the last ~5% of CF patients remain an unsolved delivery problem.</w:t>
      </w:r>
    </w:p>
    <w:p>
      <w:r>
        <w:pict>
          <v:rect style="width:0;height:1.5pt" o:hralign="center" o:hrstd="t" o:hr="t"/>
        </w:pict>
      </w:r>
    </w:p>
    <w:bookmarkEnd w:id="16"/>
    <w:bookmarkStart w:id="17" w:name="key-debates--risks-going-in"/>
    <w:p>
      <w:pPr>
        <w:pStyle w:val="Heading2"/>
      </w:pPr>
      <w:r>
        <w:t xml:space="preserve">Key Debates / Risks Going In</w:t>
      </w:r>
    </w:p>
    <w:p>
      <w:pPr>
        <w:pStyle w:val="Compact"/>
        <w:numPr>
          <w:ilvl w:val="0"/>
          <w:numId w:val="1006"/>
        </w:numPr>
      </w:pPr>
      <w:r>
        <w:rPr>
          <w:b/>
          <w:bCs/>
        </w:rPr>
        <w:t xml:space="preserve">JOURNAVX revenue inflection</w:t>
      </w:r>
      <w:r>
        <w:t xml:space="preserve"> </w:t>
      </w:r>
      <w:r>
        <w:t xml:space="preserve">— the biggest swing factor for the reaction; patience is wearing on the slow revenue-vs-script conversion.</w:t>
      </w:r>
    </w:p>
    <w:p>
      <w:pPr>
        <w:pStyle w:val="Compact"/>
        <w:numPr>
          <w:ilvl w:val="0"/>
          <w:numId w:val="1006"/>
        </w:numPr>
      </w:pPr>
      <w:r>
        <w:rPr>
          <w:b/>
          <w:bCs/>
        </w:rPr>
        <w:t xml:space="preserve">Crinetics dilution &amp; capital allocation</w:t>
      </w:r>
      <w:r>
        <w:t xml:space="preserve"> </w:t>
      </w:r>
      <w:r>
        <w:t xml:space="preserve">— near-term EPS drag, integration risk, and pressure on buyback capacity. (Wall Street Zen recently cut to Hold; Citi remains Buy with a ~$585 target.)</w:t>
      </w:r>
    </w:p>
    <w:p>
      <w:pPr>
        <w:pStyle w:val="Compact"/>
        <w:numPr>
          <w:ilvl w:val="0"/>
          <w:numId w:val="1006"/>
        </w:numPr>
      </w:pPr>
      <w:r>
        <w:rPr>
          <w:b/>
          <w:bCs/>
        </w:rPr>
        <w:t xml:space="preserve">CF durability</w:t>
      </w:r>
      <w:r>
        <w:t xml:space="preserve"> </w:t>
      </w:r>
      <w:r>
        <w:t xml:space="preserve">— pace of TRIKAFTA erosion and net pricing as the base matures.</w:t>
      </w:r>
    </w:p>
    <w:p>
      <w:pPr>
        <w:pStyle w:val="Compact"/>
        <w:numPr>
          <w:ilvl w:val="0"/>
          <w:numId w:val="1006"/>
        </w:numPr>
      </w:pPr>
      <w:r>
        <w:rPr>
          <w:b/>
          <w:bCs/>
        </w:rPr>
        <w:t xml:space="preserve">Pove launch execution &amp; competition</w:t>
      </w:r>
      <w:r>
        <w:t xml:space="preserve"> </w:t>
      </w:r>
      <w:r>
        <w:t xml:space="preserve">— first-mover rivals in IgAN; a de-risked but not-yet-launched asset.</w:t>
      </w:r>
    </w:p>
    <w:p>
      <w:pPr>
        <w:pStyle w:val="Compact"/>
        <w:numPr>
          <w:ilvl w:val="0"/>
          <w:numId w:val="1006"/>
        </w:numPr>
      </w:pPr>
      <w:r>
        <w:rPr>
          <w:b/>
          <w:bCs/>
        </w:rPr>
        <w:t xml:space="preserve">Valuation</w:t>
      </w:r>
      <w:r>
        <w:t xml:space="preserve"> </w:t>
      </w:r>
      <w:r>
        <w:t xml:space="preserve">— after a multi-year sideways stock, investors want proof the diversification (pain + heme + renal + now endocrine) can re-accelerate growth.</w:t>
      </w:r>
    </w:p>
    <w:p>
      <w:r>
        <w:pict>
          <v:rect style="width:0;height:1.5pt" o:hralign="center" o:hrstd="t" o:hr="t"/>
        </w:pict>
      </w:r>
    </w:p>
    <w:bookmarkEnd w:id="17"/>
    <w:bookmarkStart w:id="18" w:name="bottom-line"/>
    <w:p>
      <w:pPr>
        <w:pStyle w:val="Heading2"/>
      </w:pPr>
      <w:r>
        <w:t xml:space="preserve">Bottom Line</w:t>
      </w:r>
    </w:p>
    <w:p>
      <w:pPr>
        <w:pStyle w:val="FirstParagraph"/>
      </w:pPr>
      <w:r>
        <w:t xml:space="preserve">Q2 is likely a "modest beat / reiterate" quarter on the headline numbers (Street ~</w:t>
      </w:r>
      <m:oMath>
        <m:r>
          <m:t>3.23</m:t>
        </m:r>
        <m:r>
          <m:t>B</m:t>
        </m:r>
        <m:r>
          <m:rPr>
            <m:sty m:val="p"/>
          </m:rPr>
          <m:t>/</m:t>
        </m:r>
        <m:r>
          <m:t> </m:t>
        </m:r>
      </m:oMath>
      <w:r>
        <w:t xml:space="preserve">4.85), so the reaction should hinge on the</w:t>
      </w:r>
      <w:r>
        <w:t xml:space="preserve"> </w:t>
      </w:r>
      <w:r>
        <w:rPr>
          <w:b/>
          <w:bCs/>
        </w:rPr>
        <w:t xml:space="preserve">narrative, not the print</w:t>
      </w:r>
      <w:r>
        <w:t xml:space="preserve">: (1) whether</w:t>
      </w:r>
      <w:r>
        <w:t xml:space="preserve"> </w:t>
      </w:r>
      <w:r>
        <w:rPr>
          <w:b/>
          <w:bCs/>
        </w:rPr>
        <w:t xml:space="preserve">JOURNAVX revenue is finally inflecting</w:t>
      </w:r>
      <w:r>
        <w:t xml:space="preserve">, (2) any</w:t>
      </w:r>
      <w:r>
        <w:t xml:space="preserve"> </w:t>
      </w:r>
      <w:r>
        <w:rPr>
          <w:b/>
          <w:bCs/>
        </w:rPr>
        <w:t xml:space="preserve">guidance revision to fold in Crinetics</w:t>
      </w:r>
      <w:r>
        <w:t xml:space="preserve">, (3)</w:t>
      </w:r>
      <w:r>
        <w:t xml:space="preserve"> </w:t>
      </w:r>
      <w:r>
        <w:rPr>
          <w:b/>
          <w:bCs/>
        </w:rPr>
        <w:t xml:space="preserve">Pove launch-readiness color</w:t>
      </w:r>
      <w:r>
        <w:t xml:space="preserve"> </w:t>
      </w:r>
      <w:r>
        <w:t xml:space="preserve">ahead of the Nov 30 PDUFA, and (4) the</w:t>
      </w:r>
      <w:r>
        <w:t xml:space="preserve"> </w:t>
      </w:r>
      <w:r>
        <w:rPr>
          <w:b/>
          <w:bCs/>
        </w:rPr>
        <w:t xml:space="preserve">CF mix-shift and net-price trajectory</w:t>
      </w:r>
      <w:r>
        <w:t xml:space="preserve">. With the stock mid-range and expectations reasonable, updates on the non-CF growth engines — and confidence in the $500M+ non-CF target — will matter more than the CF core.</w:t>
      </w:r>
    </w:p>
    <w:p>
      <w:pPr>
        <w:pStyle w:val="BodyText"/>
      </w:pPr>
      <w:r>
        <w:rPr>
          <w:i/>
          <w:iCs/>
        </w:rPr>
        <w:t xml:space="preserve">Note: figures above combine Vertex's Q1 2026 disclosures and press releases with third-party consensus estimates and news reports; verify final consensus against your own data provider before the print.</w:t>
      </w:r>
    </w:p>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2026-08-03T00:14:02Z</dcterms:created>
  <dcterms:modified xsi:type="dcterms:W3CDTF">2026-08-03T00:14:02Z</dcterms:modified>
</cp:coreProperties>
</file>

<file path=docProps/custom.xml><?xml version="1.0" encoding="utf-8"?>
<Properties xmlns="http://schemas.openxmlformats.org/officeDocument/2006/custom-properties" xmlns:vt="http://schemas.openxmlformats.org/officeDocument/2006/docPropsVTypes"/>
</file>