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get a bit more detail on the Zacks preview and the Truist/analyst commentary for more specifics.I have enough information now to write a comprehensive earnings preview. Let me compose it.I now have a comprehensive picture. Let me write the earnings preview.# Vertex Pharmaceuticals (VRTX) — Q2 2026 Earnings Preview</w:t>
      </w:r>
      <w:r>
        <w:t xml:space="preserve"> </w:t>
      </w:r>
      <w:r>
        <w:rPr>
          <w:b/>
          <w:bCs/>
        </w:rPr>
        <w:t xml:space="preserve">Reports: Monday, August 3, 2026, after market close (call at 4:30 PM ET)</w:t>
      </w:r>
    </w:p>
    <w:bookmarkStart w:id="9" w:name="setup-into-the-print"/>
    <w:p>
      <w:pPr>
        <w:pStyle w:val="Heading2"/>
      </w:pPr>
      <w:r>
        <w:t xml:space="preserve">Setup Into the Print</w:t>
      </w:r>
    </w:p>
    <w:p>
      <w:pPr>
        <w:pStyle w:val="FirstParagraph"/>
      </w:pPr>
      <w:r>
        <w:t xml:space="preserve">VRTX shares have pulled back from a 52-week high near $530 (hit in early July) to roughly $477 heading into the print, a decline driven largely by investor digestion of the company's largest-ever acquisition rather than any fundamental deterioration in the core business. The stock's roughly 8% drawdown since the July 6 Crinetics announcement, combined with steady operational execution, sets up a report where the market will be looking as much for reassurance on capital allocation and integration as for the usual CF/pipeline updates.</w:t>
      </w:r>
    </w:p>
    <w:p>
      <w:pPr>
        <w:pStyle w:val="BodyText"/>
      </w:pPr>
      <w:r>
        <w:rPr>
          <w:b/>
          <w:bCs/>
        </w:rPr>
        <w:t xml:space="preserve">Consensus expectations:</w:t>
      </w:r>
      <w:r>
        <w:t xml:space="preserve"> </w:t>
      </w:r>
      <w:r>
        <w:t xml:space="preserve">Wall Street models roughly</w:t>
      </w:r>
      <w:r>
        <w:t xml:space="preserve"> </w:t>
      </w:r>
      <m:oMath>
        <m:r>
          <m:t>3.23</m:t>
        </m:r>
        <m:r>
          <m:t>b</m:t>
        </m:r>
        <m:r>
          <m:t>i</m:t>
        </m:r>
        <m:r>
          <m:t>l</m:t>
        </m:r>
        <m:r>
          <m:t>l</m:t>
        </m:r>
        <m:r>
          <m:t>i</m:t>
        </m:r>
        <m:r>
          <m:t>o</m:t>
        </m:r>
        <m:r>
          <m:t>n</m:t>
        </m:r>
        <m:r>
          <m:t>i</m:t>
        </m:r>
        <m:r>
          <m:t>n</m:t>
        </m:r>
        <m:r>
          <m:t>r</m:t>
        </m:r>
        <m:r>
          <m:t>e</m:t>
        </m:r>
        <m:r>
          <m:t>v</m:t>
        </m:r>
        <m:r>
          <m:t>e</m:t>
        </m:r>
        <m:r>
          <m:t>n</m:t>
        </m:r>
        <m:r>
          <m:t>u</m:t>
        </m:r>
        <m:r>
          <m:t>e</m:t>
        </m:r>
        <m:r>
          <m:rPr>
            <m:sty m:val="p"/>
          </m:rPr>
          <m:t>*</m:t>
        </m:r>
        <m:r>
          <m:rPr>
            <m:sty m:val="p"/>
          </m:rPr>
          <m:t>*</m:t>
        </m:r>
        <m:r>
          <m:t>a</m:t>
        </m:r>
        <m:r>
          <m:t>n</m:t>
        </m:r>
        <m:r>
          <m:t>d</m:t>
        </m:r>
        <m:r>
          <m:rPr>
            <m:sty m:val="p"/>
          </m:rPr>
          <m:t>*</m:t>
        </m:r>
        <m:r>
          <m:rPr>
            <m:sty m:val="p"/>
          </m:rPr>
          <m:t>*</m:t>
        </m:r>
        <m:r>
          <m:t> </m:t>
        </m:r>
      </m:oMath>
      <w:r>
        <w:rPr>
          <w:b/>
          <w:bCs/>
        </w:rPr>
        <w:t xml:space="preserve">4.74–$4.85 non-GAAP EPS</w:t>
      </w:r>
      <w:r>
        <w:t xml:space="preserve"> </w:t>
      </w:r>
      <w:r>
        <w:t xml:space="preserve">for Q2 2026, implying high-single-digit year-over-year growth consistent with the pace set in Q1.</w:t>
      </w:r>
    </w:p>
    <w:bookmarkEnd w:id="9"/>
    <w:bookmarkStart w:id="10" w:name="X223f82275284bcf981f24ae72d96762b39a7e0e"/>
    <w:p>
      <w:pPr>
        <w:pStyle w:val="Heading2"/>
      </w:pPr>
      <w:r>
        <w:t xml:space="preserve">What Happened Last Quarter (Q1 2026) — The Baseline</w:t>
      </w:r>
    </w:p>
    <w:p>
      <w:pPr>
        <w:pStyle w:val="FirstParagraph"/>
      </w:pPr>
      <w:r>
        <w:t xml:space="preserve">Q1 set a strong tone for the year. Vertex reported total revenue of $2.99 billion, reflecting 8% growth year-on-year, with key commercial milestones for each of the newer products since launch through end of Q1: ALYFTREK exceeded $1 billion in cumulative revenue, more than 500 people initiated their CASGEVY treatment journey, and over 1 million prescriptions were written for JOURNAVX. Notably, products from the new disease areas, namely CASGEVY and JOURNAVX, drove approximately 25% of total product revenue growth. Non-GAAP EPS came in at $4.47 vs. $4.06 a year earlier, and management</w:t>
      </w:r>
      <w:r>
        <w:t xml:space="preserve"> </w:t>
      </w:r>
      <w:r>
        <w:rPr>
          <w:b/>
          <w:bCs/>
        </w:rPr>
        <w:t xml:space="preserve">reiterated full-year 2026 guidance</w:t>
      </w:r>
      <w:r>
        <w:t xml:space="preserve">: total revenue of</w:t>
      </w:r>
      <w:r>
        <w:t xml:space="preserve"> </w:t>
      </w:r>
      <m:oMath>
        <m:r>
          <m:t>12.95</m:t>
        </m:r>
        <m:r>
          <m:rPr>
            <m:sty m:val="p"/>
          </m:rPr>
          <m:t>–</m:t>
        </m:r>
      </m:oMath>
      <w:r>
        <w:t xml:space="preserve">13.1 billion (8–9% growth), $500 million+ in non-CF revenue, combined non-GAAP operating expenses of</w:t>
      </w:r>
      <w:r>
        <w:t xml:space="preserve"> </w:t>
      </w:r>
      <m:oMath>
        <m:r>
          <m:t>5.65</m:t>
        </m:r>
        <m:r>
          <m:rPr>
            <m:sty m:val="p"/>
          </m:rPr>
          <m:t>–</m:t>
        </m:r>
      </m:oMath>
      <w:r>
        <w:t xml:space="preserve">5.75 billion, and a non-GAAP tax rate of 19.5–20.5%.</w:t>
      </w:r>
    </w:p>
    <w:bookmarkEnd w:id="10"/>
    <w:bookmarkStart w:id="17" w:name="key-things-to-watch-in-q2"/>
    <w:p>
      <w:pPr>
        <w:pStyle w:val="Heading2"/>
      </w:pPr>
      <w:r>
        <w:t xml:space="preserve">Key Things to Watch in Q2</w:t>
      </w:r>
    </w:p>
    <w:bookmarkStart w:id="11" w:name="Xf64185bedf46a0e7ed6c001d58d6d8cf794ed00"/>
    <w:p>
      <w:pPr>
        <w:pStyle w:val="Heading3"/>
      </w:pPr>
      <w:r>
        <w:t xml:space="preserve">1. CF Franchise — Still the Cash Engine, ALYFTREK Transition Continuing</w:t>
      </w:r>
    </w:p>
    <w:p>
      <w:pPr>
        <w:pStyle w:val="FirstParagraph"/>
      </w:pPr>
      <w:r>
        <w:t xml:space="preserve">Trikafta/Kaftrio remains the dominant revenue driver even as it cedes share to ALYFTREK; Zacks consensus pegs Trikafta/Kaftrio sales at roughly $2.45 billion for the quarter, with cannibalization pressure on legacy products (Symdeko/Symkevi, Orkambi, Kalydeco). The bigger story is the ALYFTREK ramp and the newly expanded label. In Q1, management highlighted that the U.S. recently reached label expansions for both ALYFTREK and TRIKAFTA, with patients who have at least one variant in the CFTR gene that is responsive based on clinical and/or in vitro data now covered, expanding eligibility to about 95% of people with CF and creating an incremental U.S. opportunity of roughly 800 newly eligible patients. Watch for commentary on ALYFTREK's pediatric (2–5 years) filing progress and continued ex-U.S. reimbursement wins (11 countries signed in Q1 alone).</w:t>
      </w:r>
    </w:p>
    <w:bookmarkEnd w:id="11"/>
    <w:bookmarkStart w:id="12" w:name="X7fd5180f51077f124f0a473600c36b752a52709"/>
    <w:p>
      <w:pPr>
        <w:pStyle w:val="Heading3"/>
      </w:pPr>
      <w:r>
        <w:t xml:space="preserve">2. JOURNAVX (suzetrigine) — Gross-to-Net Normalization Is the Swing Factor</w:t>
      </w:r>
    </w:p>
    <w:p>
      <w:pPr>
        <w:pStyle w:val="FirstParagraph"/>
      </w:pPr>
      <w:r>
        <w:t xml:space="preserve">JOURNAVX prescriptions are the clearest volume story in the new-launch bucket: more than 350,000 prescriptions were filled in Q1 compared to approximately 550,000 in all of 2025, and the company is guiding to more than tripling the 550,000 prescriptions from 2025, with revenue growth expected to significantly exceed prescription growth as patient-support-program tapering and payer coverage (240 million covered lives as of Q1, including initial Medicare Part D wins) normalize gross-to-net through the second half. Q2 revenue should show the early stages of that acceleration — a key metric for investors gauging whether the non-opioid pain launch is inflecting as promised.</w:t>
      </w:r>
    </w:p>
    <w:bookmarkEnd w:id="12"/>
    <w:bookmarkStart w:id="13" w:name="X7fb5ff955da14eff0926863d6aa30d527fadb98"/>
    <w:p>
      <w:pPr>
        <w:pStyle w:val="Heading3"/>
      </w:pPr>
      <w:r>
        <w:t xml:space="preserve">3. CASGEVY — Watch for Infusion Cadence, Not Just the Headline Number</w:t>
      </w:r>
    </w:p>
    <w:p>
      <w:pPr>
        <w:pStyle w:val="FirstParagraph"/>
      </w:pPr>
      <w:r>
        <w:t xml:space="preserve">CASGEVY delivered only $43 million in Q1 (lumpy given patient-driven infusion timing), but management expressed high confidence in the ramp: the CASGEVY outlook is very promising as Vertex has built its ATC network, secured reimbursements, and now has many patients at all stages of the treatment journey, giving strong visibility to revenue for the rest of 2026. A Germany pricing agreement was also secured in Q1. Investors should look for confirmation that the number of patients initiating/completing cell collection and infusion continues to climb toward the $500M+ non-CF revenue target for the year.</w:t>
      </w:r>
    </w:p>
    <w:bookmarkEnd w:id="13"/>
    <w:bookmarkStart w:id="14" w:name="Xcc9d95ba0237d55467f20e5c79c9aa3461229f5"/>
    <w:p>
      <w:pPr>
        <w:pStyle w:val="Heading3"/>
      </w:pPr>
      <w:r>
        <w:t xml:space="preserve">4. Nephrology Franchise (Povetacicept) — The Biggest Near-Term Catalyst</w:t>
      </w:r>
    </w:p>
    <w:p>
      <w:pPr>
        <w:pStyle w:val="FirstParagraph"/>
      </w:pPr>
      <w:r>
        <w:t xml:space="preserve">This is arguably the most important pipeline thread now that the market has largely digested Crinetics. Since Q1,</w:t>
      </w:r>
      <w:r>
        <w:t xml:space="preserve"> </w:t>
      </w:r>
      <w:r>
        <w:rPr>
          <w:b/>
          <w:bCs/>
        </w:rPr>
        <w:t xml:space="preserve">the FDA accepted the BLA for povetacicept in IgA nephropathy in June 2026, with a PDUFA target action date of November 30, 2026</w:t>
      </w:r>
      <w:r>
        <w:t xml:space="preserve"> </w:t>
      </w:r>
      <w:r>
        <w:t xml:space="preserve">— a filing built on Phase 3 RAINIER interim data that management called "sparkling," with a</w:t>
      </w:r>
      <w:r>
        <w:t xml:space="preserve"> </w:t>
      </w:r>
      <w:r>
        <w:rPr>
          <w:b/>
          <w:bCs/>
        </w:rPr>
        <w:t xml:space="preserve">52% reduction from baseline in proteinuria</w:t>
      </w:r>
      <w:r>
        <w:t xml:space="preserve"> </w:t>
      </w:r>
      <w:r>
        <w:t xml:space="preserve">and a favorable safety profile. Watch for updates on:</w:t>
      </w:r>
    </w:p>
    <w:p>
      <w:pPr>
        <w:pStyle w:val="Compact"/>
        <w:numPr>
          <w:ilvl w:val="0"/>
          <w:numId w:val="1001"/>
        </w:numPr>
      </w:pPr>
      <w:r>
        <w:t xml:space="preserve">Enrollment/data timing for the Phase 3 portion of the primary membranous nephropathy (pMN) program (Phase 3 already initiated ahead of schedule as of Q1)</w:t>
      </w:r>
    </w:p>
    <w:p>
      <w:pPr>
        <w:pStyle w:val="Compact"/>
        <w:numPr>
          <w:ilvl w:val="0"/>
          <w:numId w:val="1001"/>
        </w:numPr>
      </w:pPr>
      <w:r>
        <w:t xml:space="preserve">Progress in the Phase 2 proof-of-concept study in generalized myasthenia gravis</w:t>
      </w:r>
    </w:p>
    <w:p>
      <w:pPr>
        <w:pStyle w:val="Compact"/>
        <w:numPr>
          <w:ilvl w:val="0"/>
          <w:numId w:val="1001"/>
        </w:numPr>
      </w:pPr>
      <w:r>
        <w:t xml:space="preserve">Commercial launch readiness commentary (payer negotiations, field force build-out) ahead of the November PDUFA date</w:t>
      </w:r>
    </w:p>
    <w:bookmarkEnd w:id="14"/>
    <w:bookmarkStart w:id="15" w:name="X825d17d948ea5b264ce463d05f0e6b4855a36ce"/>
    <w:p>
      <w:pPr>
        <w:pStyle w:val="Heading3"/>
      </w:pPr>
      <w:r>
        <w:t xml:space="preserve">5. AMKD (inaxaplin) and Other Late-Stage Readouts</w:t>
      </w:r>
    </w:p>
    <w:p>
      <w:pPr>
        <w:pStyle w:val="FirstParagraph"/>
      </w:pPr>
      <w:r>
        <w:t xml:space="preserve">Management guided to sharing</w:t>
      </w:r>
      <w:r>
        <w:t xml:space="preserve"> </w:t>
      </w:r>
      <w:r>
        <w:rPr>
          <w:b/>
          <w:bCs/>
        </w:rPr>
        <w:t xml:space="preserve">AMPLIFIED Phase 2 data (moderate-proteinuria and diabetic AMKD populations) in the second half of 2026</w:t>
      </w:r>
      <w:r>
        <w:t xml:space="preserve"> </w:t>
      </w:r>
      <w:r>
        <w:t xml:space="preserve">and</w:t>
      </w:r>
      <w:r>
        <w:t xml:space="preserve"> </w:t>
      </w:r>
      <w:r>
        <w:rPr>
          <w:b/>
          <w:bCs/>
        </w:rPr>
        <w:t xml:space="preserve">VX-828 (next-gen CFTR corrector) proof-of-concept data also in H2 2026</w:t>
      </w:r>
      <w:r>
        <w:t xml:space="preserve"> </w:t>
      </w:r>
      <w:r>
        <w:t xml:space="preserve">— both could land around or shortly after this print, so investors should listen for updated timing specificity. The AMPLITUDE Phase 3 interim analysis (for accelerated approval) remains guided to early 2027. Zimislecel (T1D) dosing resumed after the manufacturing-related pause; an updated study-completion timeline was promised "in the coming months" as of Q1 — Q2 is a logical checkpoint for that update.</w:t>
      </w:r>
    </w:p>
    <w:bookmarkEnd w:id="15"/>
    <w:bookmarkStart w:id="16" w:name="Xab0fd491f3869c007301c282b3c76ea7cd5a8ab"/>
    <w:p>
      <w:pPr>
        <w:pStyle w:val="Heading3"/>
      </w:pPr>
      <w:r>
        <w:t xml:space="preserve">6. The Crinetics Acquisition — Now the Dominant Overhang/Catalyst</w:t>
      </w:r>
    </w:p>
    <w:p>
      <w:pPr>
        <w:pStyle w:val="FirstParagraph"/>
      </w:pPr>
      <w:r>
        <w:t xml:space="preserve">On July 6, Vertex announced its</w:t>
      </w:r>
      <w:r>
        <w:t xml:space="preserve"> </w:t>
      </w:r>
      <w:r>
        <w:rPr>
          <w:b/>
          <w:bCs/>
        </w:rPr>
        <w:t xml:space="preserve">largest-ever deal</w:t>
      </w:r>
      <w:r>
        <w:t xml:space="preserve">: acquiring Crinetics Pharmaceuticals for $85/share in an all-cash transaction valued at approximately</w:t>
      </w:r>
      <w:r>
        <w:t xml:space="preserve"> </w:t>
      </w:r>
      <m:oMath>
        <m:r>
          <m:t>10.0</m:t>
        </m:r>
        <m:r>
          <m:t>b</m:t>
        </m:r>
        <m:r>
          <m:t>i</m:t>
        </m:r>
        <m:r>
          <m:t>l</m:t>
        </m:r>
        <m:r>
          <m:t>l</m:t>
        </m:r>
        <m:r>
          <m:t>i</m:t>
        </m:r>
        <m:r>
          <m:t>o</m:t>
        </m:r>
        <m:r>
          <m:t>n</m:t>
        </m:r>
        <m:r>
          <m:rPr>
            <m:sty m:val="p"/>
          </m:rPr>
          <m:t>(</m:t>
        </m:r>
        <m:r>
          <m:t> </m:t>
        </m:r>
      </m:oMath>
      <w:r>
        <w:t xml:space="preserve">8.8 billion net of cash), a roughly 102% premium to Crinetics' prior close. The deal brings</w:t>
      </w:r>
      <w:r>
        <w:t xml:space="preserve"> </w:t>
      </w:r>
      <w:r>
        <w:rPr>
          <w:b/>
          <w:bCs/>
        </w:rPr>
        <w:t xml:space="preserve">PALSONIFY (paltusotine)</w:t>
      </w:r>
      <w:r>
        <w:t xml:space="preserve">, the first once-daily oral therapy for acromegaly, plus</w:t>
      </w:r>
      <w:r>
        <w:t xml:space="preserve"> </w:t>
      </w:r>
      <w:r>
        <w:rPr>
          <w:b/>
          <w:bCs/>
        </w:rPr>
        <w:t xml:space="preserve">atumelnant</w:t>
      </w:r>
      <w:r>
        <w:t xml:space="preserve">, a Phase 3 CAH/Cushing's asset that management believes could be a multi-billion-dollar opportunity — together framed as adding "more than $5 billion in combined annual revenue" at peak and establishing endocrinology as a new commercial pillar. The transaction is expected to close in Q3 2026, financed via cash on hand plus debt (Vertex entered into a $4.5 billion term loan on July 30 with Bank of America as administrative agent). Key questions for the call:</w:t>
      </w:r>
    </w:p>
    <w:p>
      <w:pPr>
        <w:pStyle w:val="Compact"/>
        <w:numPr>
          <w:ilvl w:val="0"/>
          <w:numId w:val="1002"/>
        </w:numPr>
      </w:pPr>
      <w:r>
        <w:t xml:space="preserve">Updated closing timeline/regulatory progress and Crinetics shareholder vote status</w:t>
      </w:r>
    </w:p>
    <w:p>
      <w:pPr>
        <w:pStyle w:val="Compact"/>
        <w:numPr>
          <w:ilvl w:val="0"/>
          <w:numId w:val="1002"/>
        </w:numPr>
      </w:pPr>
      <w:r>
        <w:t xml:space="preserve">Financing mix (cash vs. term loan draw) and impact on the balance sheet/leverage</w:t>
      </w:r>
    </w:p>
    <w:p>
      <w:pPr>
        <w:pStyle w:val="Compact"/>
        <w:numPr>
          <w:ilvl w:val="0"/>
          <w:numId w:val="1002"/>
        </w:numPr>
      </w:pPr>
      <w:r>
        <w:t xml:space="preserve">Rationale reiteration given the stock's negative reaction (shares fell as much as ~8% post-announcement) — sell-side reception has actually been fairly constructive (e.g., Truist raised its price target to $560; H.C. Wainwright framed the deal as creating a "fifth commercial pillar" with meaningful upside), so management may push back on the market's initial skepticism</w:t>
      </w:r>
    </w:p>
    <w:p>
      <w:pPr>
        <w:pStyle w:val="Compact"/>
        <w:numPr>
          <w:ilvl w:val="0"/>
          <w:numId w:val="1002"/>
        </w:numPr>
      </w:pPr>
      <w:r>
        <w:t xml:space="preserve">Any early integration commentary, even though the deal likely won't have closed by the print</w:t>
      </w:r>
    </w:p>
    <w:bookmarkEnd w:id="16"/>
    <w:bookmarkEnd w:id="17"/>
    <w:bookmarkStart w:id="18" w:name="financial-guidance--reiterate-or-raise"/>
    <w:p>
      <w:pPr>
        <w:pStyle w:val="Heading2"/>
      </w:pPr>
      <w:r>
        <w:t xml:space="preserve">Financial Guidance — Reiterate or Raise?</w:t>
      </w:r>
    </w:p>
    <w:p>
      <w:pPr>
        <w:pStyle w:val="FirstParagraph"/>
      </w:pPr>
      <w:r>
        <w:t xml:space="preserve">Full-year 2026 guidance (</w:t>
      </w:r>
      <m:oMath>
        <m:r>
          <m:t>12.95</m:t>
        </m:r>
        <m:r>
          <m:rPr>
            <m:sty m:val="p"/>
          </m:rPr>
          <m:t>–</m:t>
        </m:r>
      </m:oMath>
      <w:r>
        <w:t xml:space="preserve">13.1B revenue, $500M+ non-CF revenue,</w:t>
      </w:r>
      <w:r>
        <w:t xml:space="preserve"> </w:t>
      </w:r>
      <m:oMath>
        <m:r>
          <m:t>5.65</m:t>
        </m:r>
        <m:r>
          <m:rPr>
            <m:sty m:val="p"/>
          </m:rPr>
          <m:t>–</m:t>
        </m:r>
      </m:oMath>
      <w:r>
        <w:t xml:space="preserve">5.75B combined opex, 19.5–20.5% tax rate) was reiterated at Q1. With CF tracking in line, JOURNAVX poised to inflect, and CASGEVY visibility strong, there's a reasonable chance management reaffirms rather than raises guidance this quarter, saving any raise for later in the year once gross-to-net normalization and CASGEVY infusion trends are more fully proven out. Watch for whether Crinetics-related expenses (deal costs, financing costs) get called out as one-time items, and whether any impact on 2026 guidance from the pending acquisition is flagged (the deal is expected to be accretive to non-GAAP operating income only starting in 2029, so near-term dilution/financing cost commentary matters).</w:t>
      </w:r>
    </w:p>
    <w:bookmarkEnd w:id="18"/>
    <w:bookmarkStart w:id="19" w:name="bottom-line-for-investors"/>
    <w:p>
      <w:pPr>
        <w:pStyle w:val="Heading2"/>
      </w:pPr>
      <w:r>
        <w:t xml:space="preserve">Bottom Line for Investors</w:t>
      </w:r>
    </w:p>
    <w:p>
      <w:pPr>
        <w:pStyle w:val="FirstParagraph"/>
      </w:pPr>
      <w:r>
        <w:t xml:space="preserve">Q2 should look like a continuation of Q1's steady, high-single-digit growth story: CF durability via ALYFTREK, an inflecting JOURNAVX (the key metric to watch is prescription/revenue divergence as gross-to-net normalizes), and CASGEVY building infusion momentum. The more consequential swing factors for the stock are</w:t>
      </w:r>
      <w:r>
        <w:t xml:space="preserve"> </w:t>
      </w:r>
      <w:r>
        <w:rPr>
          <w:b/>
          <w:bCs/>
        </w:rPr>
        <w:t xml:space="preserve">(1) any incremental color on the povetacicept BLA review and nephrology launch readiness ahead of the November 30 PDUFA date</w:t>
      </w:r>
      <w:r>
        <w:t xml:space="preserve">, and</w:t>
      </w:r>
      <w:r>
        <w:t xml:space="preserve"> </w:t>
      </w:r>
      <w:r>
        <w:rPr>
          <w:b/>
          <w:bCs/>
        </w:rPr>
        <w:t xml:space="preserve">(2) how management frames the Crinetics acquisition's financing, timeline, and strategic logic</w:t>
      </w:r>
      <w:r>
        <w:t xml:space="preserve">, given that deal — not the underlying quarter — has been the primary driver of recent share-price volatility. Barring a negative surprise on core CF trends or new safety/regulatory setbacks in the pipeline, this looks more like a "steady execution, watch the M&amp;A commentary" print than a make-or-break quarter.</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2026-08-03T00:10:49Z</dcterms:created>
  <dcterms:modified xsi:type="dcterms:W3CDTF">2026-08-03T00:10:49Z</dcterms:modified>
</cp:coreProperties>
</file>

<file path=docProps/custom.xml><?xml version="1.0" encoding="utf-8"?>
<Properties xmlns="http://schemas.openxmlformats.org/officeDocument/2006/custom-properties" xmlns:vt="http://schemas.openxmlformats.org/officeDocument/2006/docPropsVTypes"/>
</file>