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x-earnings-predictions--2026-08-03"/>
    <w:p>
      <w:pPr>
        <w:pStyle w:val="Heading1"/>
      </w:pPr>
      <w:r>
        <w:t xml:space="preserve">VRTX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~$3.25B vs. cons $3.23B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~$4.93 vs. cons $4.85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JOURNAVX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~$51M vs. cons $55M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~$13.03B midpoint vs. cons $13.05B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non-CF product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~$500M floor vs. cons $540M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R&amp;D, acquired IPR&amp;D and SG&amp;A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~$5.70B midpoint vs. cons $5.70B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-3.4% (FOLLOW-THROUGH)</w:t>
            </w:r>
          </w:p>
        </w:tc>
        <w:tc>
          <w:tcPr/>
          <w:p>
            <w:pPr>
              <w:pStyle w:val="Compact"/>
            </w:pPr>
            <w:r>
              <w:t xml:space="preserve">Predicted day-5 residual of -3.4% vs. day-1 residual of -2.3%: an EPS beat is likely to be outweighed by soft JOURNAVX monetization, a non-CF guide below the ~$540M consensus, demanding second-half revenue math, and Crinetics-related dilution that pressures out-period estimates.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2026-08-03T00:08:39Z</dcterms:created>
  <dcterms:modified xsi:type="dcterms:W3CDTF">2026-08-03T00:08:39Z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