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1" w:name="vrtx-q2-2026-earnings-preview"/>
    <w:p>
      <w:pPr>
        <w:pStyle w:val="Heading1"/>
      </w:pPr>
      <w:r>
        <w:t xml:space="preserve">VRTX Q2 2026 Earnings Preview</w:t>
      </w:r>
    </w:p>
    <w:p>
      <w:pPr>
        <w:pStyle w:val="FirstParagraph"/>
      </w:pPr>
      <w:r>
        <w:rPr>
          <w:b/>
          <w:bCs/>
        </w:rPr>
        <w:t xml:space="preserve">Report:</w:t>
      </w:r>
      <w:r>
        <w:t xml:space="preserve"> </w:t>
      </w:r>
      <w:r>
        <w:t xml:space="preserve">Monday, August 3, 2026, after market close</w:t>
      </w:r>
      <w:r>
        <w:br/>
      </w:r>
      <w:r>
        <w:rPr>
          <w:b/>
          <w:bCs/>
        </w:rPr>
        <w:t xml:space="preserve">Conference call:</w:t>
      </w:r>
      <w:r>
        <w:t xml:space="preserve"> </w:t>
      </w:r>
      <w:r>
        <w:t xml:space="preserve">4:30 p.m. ET (</w:t>
      </w:r>
      <w:hyperlink r:id="rId9">
        <w:r>
          <w:rPr>
            <w:rStyle w:val="Hyperlink"/>
          </w:rPr>
          <w:t xml:space="preserve">investors.vrtx.com</w:t>
        </w:r>
      </w:hyperlink>
      <w:r>
        <w:t xml:space="preserve">)</w:t>
      </w:r>
    </w:p>
    <w:bookmarkStart w:id="10" w:name="executive-view"/>
    <w:p>
      <w:pPr>
        <w:pStyle w:val="Heading2"/>
      </w:pPr>
      <w:r>
        <w:t xml:space="preserve">Executive view</w:t>
      </w:r>
    </w:p>
    <w:p>
      <w:pPr>
        <w:pStyle w:val="FirstParagraph"/>
      </w:pPr>
      <w:r>
        <w:t xml:space="preserve">Vertex enters Q2 earnings with its cystic-fibrosis franchise performing well, three newer commercial products contributing to growth, povetacicept approaching a major FDA decision, and a pending $10 billion acquisition that materially changes its capital structure and long-term portfolio.</w:t>
      </w:r>
    </w:p>
    <w:p>
      <w:pPr>
        <w:pStyle w:val="BodyText"/>
      </w:pPr>
      <w:r>
        <w:t xml:space="preserve">The headline earnings numbers matter, but the stock’s response should depend more on four questions:</w:t>
      </w:r>
    </w:p>
    <w:p>
      <w:pPr>
        <w:pStyle w:val="Compact"/>
        <w:numPr>
          <w:ilvl w:val="0"/>
          <w:numId w:val="1001"/>
        </w:numPr>
      </w:pPr>
      <w:r>
        <w:rPr>
          <w:b/>
          <w:bCs/>
        </w:rPr>
        <w:t xml:space="preserve">Is JOURNAVX beginning to monetize its prescription growth?</w:t>
      </w:r>
    </w:p>
    <w:p>
      <w:pPr>
        <w:pStyle w:val="Compact"/>
        <w:numPr>
          <w:ilvl w:val="0"/>
          <w:numId w:val="1001"/>
        </w:numPr>
      </w:pPr>
      <w:r>
        <w:rPr>
          <w:b/>
          <w:bCs/>
        </w:rPr>
        <w:t xml:space="preserve">Are CASGEVY infusions accelerating enough to support the non-CF sales target?</w:t>
      </w:r>
    </w:p>
    <w:p>
      <w:pPr>
        <w:pStyle w:val="Compact"/>
        <w:numPr>
          <w:ilvl w:val="0"/>
          <w:numId w:val="1001"/>
        </w:numPr>
      </w:pPr>
      <w:r>
        <w:rPr>
          <w:b/>
          <w:bCs/>
        </w:rPr>
        <w:t xml:space="preserve">Can Vertex maintain or raise 2026 guidance despite rising commercial and pipeline investment?</w:t>
      </w:r>
    </w:p>
    <w:p>
      <w:pPr>
        <w:pStyle w:val="Compact"/>
        <w:numPr>
          <w:ilvl w:val="0"/>
          <w:numId w:val="1001"/>
        </w:numPr>
      </w:pPr>
      <w:r>
        <w:rPr>
          <w:b/>
          <w:bCs/>
        </w:rPr>
        <w:t xml:space="preserve">Can management strengthen the strategic and financial case for acquiring Crinetics?</w:t>
      </w:r>
    </w:p>
    <w:p>
      <w:pPr>
        <w:pStyle w:val="FirstParagraph"/>
      </w:pPr>
      <w:r>
        <w:t xml:space="preserve">A modest earnings beat with unchanged guidance may not be sufficient for a significant positive reaction. A more constructive report would combine continued CF growth, clear sequential acceleration in non-CF revenue, and increased confidence in the full-year outlook.</w:t>
      </w:r>
    </w:p>
    <w:p>
      <w:r>
        <w:pict>
          <v:rect style="width:0;height:1.5pt" o:hralign="center" o:hrstd="t" o:hr="t"/>
        </w:pict>
      </w:r>
    </w:p>
    <w:bookmarkEnd w:id="10"/>
    <w:bookmarkStart w:id="13" w:name="consensus-and-guidance-framework"/>
    <w:p>
      <w:pPr>
        <w:pStyle w:val="Heading2"/>
      </w:pPr>
      <w:r>
        <w:t xml:space="preserve">Consensus and guidance framework</w:t>
      </w:r>
    </w:p>
    <w:p>
      <w:pPr>
        <w:pStyle w:val="FirstParagraph"/>
      </w:pPr>
      <w:r>
        <w:t xml:space="preserve">Recent Zacks consensus calls for approximately</w:t>
      </w:r>
      <w:r>
        <w:t xml:space="preserve"> </w:t>
      </w:r>
      <m:oMath>
        <m:r>
          <m:t>3.23</m:t>
        </m:r>
        <m:r>
          <m:t>b</m:t>
        </m:r>
        <m:r>
          <m:t>i</m:t>
        </m:r>
        <m:r>
          <m:t>l</m:t>
        </m:r>
        <m:r>
          <m:t>l</m:t>
        </m:r>
        <m:r>
          <m:t>i</m:t>
        </m:r>
        <m:r>
          <m:t>o</m:t>
        </m:r>
        <m:r>
          <m:t>n</m:t>
        </m:r>
        <m:r>
          <m:t>o</m:t>
        </m:r>
        <m:r>
          <m:t>f</m:t>
        </m:r>
        <m:r>
          <m:t>Q</m:t>
        </m:r>
        <m:r>
          <m:t>2</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4.85 of non-GAAP EPS</w:t>
      </w:r>
      <w:r>
        <w:t xml:space="preserve">, representing year-over-year growth of roughly 9% and 7%, respectively. Consensus varies somewhat by data provider, so these figures are best treated as the primary public benchmark rather than a precise universal bogey. (</w:t>
      </w:r>
      <w:hyperlink r:id="rId11">
        <w:r>
          <w:rPr>
            <w:rStyle w:val="Hyperlink"/>
          </w:rPr>
          <w:t xml:space="preserve">zacks.com</w:t>
        </w:r>
      </w:hyperlink>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consensus / current guide</w:t>
            </w:r>
          </w:p>
        </w:tc>
      </w:tr>
      <w:tr>
        <w:tc>
          <w:tcPr/>
          <w:p>
            <w:pPr>
              <w:pStyle w:val="Compact"/>
            </w:pPr>
            <w:r>
              <w:t xml:space="preserve">Q2 revenue</w:t>
            </w:r>
          </w:p>
        </w:tc>
        <w:tc>
          <w:tcPr/>
          <w:p>
            <w:pPr>
              <w:pStyle w:val="Compact"/>
              <w:jc w:val="right"/>
            </w:pPr>
            <w:r>
              <w:t xml:space="preserve">~$3.23B</w:t>
            </w:r>
          </w:p>
        </w:tc>
      </w:tr>
      <w:tr>
        <w:tc>
          <w:tcPr/>
          <w:p>
            <w:pPr>
              <w:pStyle w:val="Compact"/>
            </w:pPr>
            <w:r>
              <w:t xml:space="preserve">Q2 non-GAAP EPS</w:t>
            </w:r>
          </w:p>
        </w:tc>
        <w:tc>
          <w:tcPr/>
          <w:p>
            <w:pPr>
              <w:pStyle w:val="Compact"/>
              <w:jc w:val="right"/>
            </w:pPr>
            <w:r>
              <w:t xml:space="preserve">~$4.85</w:t>
            </w:r>
          </w:p>
        </w:tc>
      </w:tr>
      <w:tr>
        <w:tc>
          <w:tcPr/>
          <w:p>
            <w:pPr>
              <w:pStyle w:val="Compact"/>
            </w:pPr>
            <w:r>
              <w:t xml:space="preserve">FY2026 revenue guidance</w:t>
            </w:r>
          </w:p>
        </w:tc>
        <w:tc>
          <w:tcPr/>
          <w:p>
            <w:pPr>
              <w:pStyle w:val="Compact"/>
              <w:jc w:val="right"/>
            </w:pPr>
            <m:oMath>
              <m:r>
                <m:t>12.95</m:t>
              </m:r>
              <m:r>
                <m:t>B</m:t>
              </m:r>
              <m:r>
                <m:rPr>
                  <m:sty m:val="p"/>
                </m:rPr>
                <m:t>–</m:t>
              </m:r>
            </m:oMath>
            <w:r>
              <w:t xml:space="preserve">13.10B</w:t>
            </w:r>
          </w:p>
        </w:tc>
      </w:tr>
      <w:tr>
        <w:tc>
          <w:tcPr/>
          <w:p>
            <w:pPr>
              <w:pStyle w:val="Compact"/>
            </w:pPr>
            <w:r>
              <w:t xml:space="preserve">FY2026 non-CF product revenue</w:t>
            </w:r>
          </w:p>
        </w:tc>
        <w:tc>
          <w:tcPr/>
          <w:p>
            <w:pPr>
              <w:pStyle w:val="Compact"/>
              <w:jc w:val="right"/>
            </w:pPr>
            <w:r>
              <w:t xml:space="preserve">At least $500M</w:t>
            </w:r>
          </w:p>
        </w:tc>
      </w:tr>
      <w:tr>
        <w:tc>
          <w:tcPr/>
          <w:p>
            <w:pPr>
              <w:pStyle w:val="Compact"/>
            </w:pPr>
            <w:r>
              <w:t xml:space="preserve">FY2026 non-GAAP R&amp;D, acquired IPR&amp;D and SG&amp;A</w:t>
            </w:r>
          </w:p>
        </w:tc>
        <w:tc>
          <w:tcPr/>
          <w:p>
            <w:pPr>
              <w:pStyle w:val="Compact"/>
              <w:jc w:val="right"/>
            </w:pPr>
            <m:oMath>
              <m:r>
                <m:t>5.65</m:t>
              </m:r>
              <m:r>
                <m:t>B</m:t>
              </m:r>
              <m:r>
                <m:rPr>
                  <m:sty m:val="p"/>
                </m:rPr>
                <m:t>–</m:t>
              </m:r>
            </m:oMath>
            <w:r>
              <w:t xml:space="preserve">5.75B</w:t>
            </w:r>
          </w:p>
        </w:tc>
      </w:tr>
      <w:tr>
        <w:tc>
          <w:tcPr/>
          <w:p>
            <w:pPr>
              <w:pStyle w:val="Compact"/>
            </w:pPr>
            <w:r>
              <w:t xml:space="preserve">FY2026 non-GAAP tax rate</w:t>
            </w:r>
          </w:p>
        </w:tc>
        <w:tc>
          <w:tcPr/>
          <w:p>
            <w:pPr>
              <w:pStyle w:val="Compact"/>
              <w:jc w:val="right"/>
            </w:pPr>
            <w:r>
              <w:t xml:space="preserve">19.5%–20.5%</w:t>
            </w:r>
          </w:p>
        </w:tc>
      </w:tr>
    </w:tbl>
    <w:p>
      <w:pPr>
        <w:pStyle w:val="BodyText"/>
      </w:pPr>
      <w:r>
        <w:t xml:space="preserve">Vertex generated</w:t>
      </w:r>
      <w:r>
        <w:t xml:space="preserve"> </w:t>
      </w:r>
      <w:r>
        <w:rPr>
          <w:b/>
          <w:bCs/>
        </w:rPr>
        <w:t xml:space="preserve">$2.99 billion of revenue and $4.47 of non-GAAP EPS in Q1</w:t>
      </w:r>
      <w:r>
        <w:t xml:space="preserve"> </w:t>
      </w:r>
      <w:r>
        <w:t xml:space="preserve">and reiterated its full-year guidance. Q1 revenue grew 8%, with CASGEVY and JOURNAVX accounting for more than one-quarter of the year-over-year increase. (</w:t>
      </w:r>
      <w:hyperlink r:id="rId12">
        <w:r>
          <w:rPr>
            <w:rStyle w:val="Hyperlink"/>
          </w:rPr>
          <w:t xml:space="preserve">investors.vrtx.com</w:t>
        </w:r>
      </w:hyperlink>
      <w:r>
        <w:t xml:space="preserve">)</w:t>
      </w:r>
    </w:p>
    <w:p>
      <w:pPr>
        <w:pStyle w:val="BodyText"/>
      </w:pPr>
      <w:r>
        <w:t xml:space="preserve">The midpoint of the annual revenue range is about</w:t>
      </w:r>
      <w:r>
        <w:t xml:space="preserve"> </w:t>
      </w:r>
      <m:oMath>
        <m:r>
          <m:t>13.03</m:t>
        </m:r>
        <m:r>
          <m:t>b</m:t>
        </m:r>
        <m:r>
          <m:t>i</m:t>
        </m:r>
        <m:r>
          <m:t>l</m:t>
        </m:r>
        <m:r>
          <m:t>l</m:t>
        </m:r>
        <m:r>
          <m:t>i</m:t>
        </m:r>
        <m:r>
          <m:t>o</m:t>
        </m:r>
        <m:r>
          <m:t>n</m:t>
        </m:r>
        <m:r>
          <m:rPr>
            <m:sty m:val="p"/>
          </m:rPr>
          <m:t>*</m:t>
        </m:r>
        <m:r>
          <m:rPr>
            <m:sty m:val="p"/>
          </m:rPr>
          <m:t>*</m:t>
        </m:r>
        <m:r>
          <m:rPr>
            <m:sty m:val="p"/>
          </m:rPr>
          <m:t>.</m:t>
        </m:r>
        <m:r>
          <m:t>A</m:t>
        </m:r>
        <m:r>
          <m:t>f</m:t>
        </m:r>
        <m:r>
          <m:t>t</m:t>
        </m:r>
        <m:r>
          <m:t>e</m:t>
        </m:r>
        <m:r>
          <m:t>r</m:t>
        </m:r>
        <m:r>
          <m:t>Q</m:t>
        </m:r>
        <m:r>
          <m:t>1</m:t>
        </m:r>
        <m:r>
          <m:rPr>
            <m:sty m:val="p"/>
          </m:rPr>
          <m:t>,</m:t>
        </m:r>
        <m:r>
          <m:t>V</m:t>
        </m:r>
        <m:r>
          <m:t>e</m:t>
        </m:r>
        <m:r>
          <m:t>r</m:t>
        </m:r>
        <m:r>
          <m:t>t</m:t>
        </m:r>
        <m:r>
          <m:t>e</m:t>
        </m:r>
        <m:r>
          <m:t>x</m:t>
        </m:r>
        <m:r>
          <m:t>n</m:t>
        </m:r>
        <m:r>
          <m:t>e</m:t>
        </m:r>
        <m:r>
          <m:t>e</m:t>
        </m:r>
        <m:r>
          <m:t>d</m:t>
        </m:r>
        <m:r>
          <m:t>s</m:t>
        </m:r>
        <m:r>
          <m:t>a</m:t>
        </m:r>
        <m:r>
          <m:t>p</m:t>
        </m:r>
        <m:r>
          <m:t>p</m:t>
        </m:r>
        <m:r>
          <m:t>r</m:t>
        </m:r>
        <m:r>
          <m:t>o</m:t>
        </m:r>
        <m:r>
          <m:t>x</m:t>
        </m:r>
        <m:r>
          <m:t>i</m:t>
        </m:r>
        <m:r>
          <m:t>m</m:t>
        </m:r>
        <m:r>
          <m:t>a</m:t>
        </m:r>
        <m:r>
          <m:t>t</m:t>
        </m:r>
        <m:r>
          <m:t>e</m:t>
        </m:r>
        <m:r>
          <m:t>l</m:t>
        </m:r>
        <m:r>
          <m:t>y</m:t>
        </m:r>
        <m:r>
          <m:rPr>
            <m:sty m:val="p"/>
          </m:rPr>
          <m:t>*</m:t>
        </m:r>
        <m:r>
          <m:rPr>
            <m:sty m:val="p"/>
          </m:rPr>
          <m:t>*</m:t>
        </m:r>
      </m:oMath>
      <w:r>
        <w:rPr>
          <w:b/>
          <w:bCs/>
        </w:rPr>
        <w:t xml:space="preserve">10.04 billion over the remaining three quarters</w:t>
      </w:r>
      <w:r>
        <w:t xml:space="preserve">, or an average of about</w:t>
      </w:r>
      <w:r>
        <w:t xml:space="preserve"> </w:t>
      </w:r>
      <w:r>
        <w:rPr>
          <w:b/>
          <w:bCs/>
        </w:rPr>
        <w:t xml:space="preserve">$3.35 billion per quarter</w:t>
      </w:r>
      <w:r>
        <w:t xml:space="preserve">. If Q2 lands near the</w:t>
      </w:r>
      <w:r>
        <w:t xml:space="preserve"> </w:t>
      </w:r>
      <m:oMath>
        <m:r>
          <m:t>3.23</m:t>
        </m:r>
        <m:r>
          <m:t>b</m:t>
        </m:r>
        <m:r>
          <m:t>i</m:t>
        </m:r>
        <m:r>
          <m:t>l</m:t>
        </m:r>
        <m:r>
          <m:t>l</m:t>
        </m:r>
        <m:r>
          <m:t>i</m:t>
        </m:r>
        <m:r>
          <m:t>o</m:t>
        </m:r>
        <m:r>
          <m:t>n</m:t>
        </m:r>
        <m:r>
          <m:t>c</m:t>
        </m:r>
        <m:r>
          <m:t>o</m:t>
        </m:r>
        <m:r>
          <m:t>n</m:t>
        </m:r>
        <m:r>
          <m:t>s</m:t>
        </m:r>
        <m:r>
          <m:t>e</m:t>
        </m:r>
        <m:r>
          <m:t>n</m:t>
        </m:r>
        <m:r>
          <m:t>s</m:t>
        </m:r>
        <m:r>
          <m:t>u</m:t>
        </m:r>
        <m:r>
          <m:t>s</m:t>
        </m:r>
        <m:r>
          <m:rPr>
            <m:sty m:val="p"/>
          </m:rPr>
          <m:t>,</m:t>
        </m:r>
        <m:r>
          <m:t>t</m:t>
        </m:r>
        <m:r>
          <m:t>h</m:t>
        </m:r>
        <m:r>
          <m:t>e</m:t>
        </m:r>
        <m:r>
          <m:t>r</m:t>
        </m:r>
        <m:r>
          <m:t>e</m:t>
        </m:r>
        <m:r>
          <m:t>q</m:t>
        </m:r>
        <m:r>
          <m:t>u</m:t>
        </m:r>
        <m:r>
          <m:t>i</m:t>
        </m:r>
        <m:r>
          <m:t>r</m:t>
        </m:r>
        <m:r>
          <m:t>e</m:t>
        </m:r>
        <m:r>
          <m:t>d</m:t>
        </m:r>
        <m:r>
          <m:t>a</m:t>
        </m:r>
        <m:r>
          <m:t>v</m:t>
        </m:r>
        <m:r>
          <m:t>e</m:t>
        </m:r>
        <m:r>
          <m:t>r</m:t>
        </m:r>
        <m:r>
          <m:t>a</m:t>
        </m:r>
        <m:r>
          <m:t>g</m:t>
        </m:r>
        <m:r>
          <m:t>e</m:t>
        </m:r>
        <m:r>
          <m:t>r</m:t>
        </m:r>
        <m:r>
          <m:t>i</m:t>
        </m:r>
        <m:r>
          <m:t>s</m:t>
        </m:r>
        <m:r>
          <m:t>e</m:t>
        </m:r>
        <m:r>
          <m:t>s</m:t>
        </m:r>
        <m:r>
          <m:t>t</m:t>
        </m:r>
        <m:r>
          <m:t>o</m:t>
        </m:r>
        <m:r>
          <m:t>r</m:t>
        </m:r>
        <m:r>
          <m:t>o</m:t>
        </m:r>
        <m:r>
          <m:t>u</m:t>
        </m:r>
        <m:r>
          <m:t>g</m:t>
        </m:r>
        <m:r>
          <m:t>h</m:t>
        </m:r>
        <m:r>
          <m:t>l</m:t>
        </m:r>
        <m:r>
          <m:t>y</m:t>
        </m:r>
        <m:r>
          <m:rPr>
            <m:sty m:val="p"/>
          </m:rPr>
          <m:t>*</m:t>
        </m:r>
        <m:r>
          <m:rPr>
            <m:sty m:val="p"/>
          </m:rPr>
          <m:t>*</m:t>
        </m:r>
      </m:oMath>
      <w:r>
        <w:t xml:space="preserve">3.40 billion for Q3 and Q4**.</w:t>
      </w:r>
    </w:p>
    <w:p>
      <w:pPr>
        <w:pStyle w:val="BodyText"/>
      </w:pPr>
      <w:r>
        <w:t xml:space="preserve">That makes the quality of the guidance reiteration important: investors should listen for concrete reasons why second-half revenue will accelerate, rather than accepting a simple maintenance of the range.</w:t>
      </w:r>
    </w:p>
    <w:p>
      <w:r>
        <w:pict>
          <v:rect style="width:0;height:1.5pt" o:hralign="center" o:hrstd="t" o:hr="t"/>
        </w:pict>
      </w:r>
    </w:p>
    <w:bookmarkEnd w:id="13"/>
    <w:bookmarkStart w:id="18" w:name="X1955d312cc0a9ef10aa118eaa126aabe3e2a7af"/>
    <w:p>
      <w:pPr>
        <w:pStyle w:val="Heading2"/>
      </w:pPr>
      <w:r>
        <w:t xml:space="preserve">1. CF remains the foundation—but watch total franchise growth, not product mix</w:t>
      </w:r>
    </w:p>
    <w:p>
      <w:pPr>
        <w:pStyle w:val="FirstParagraph"/>
      </w:pPr>
      <w:r>
        <w:t xml:space="preserve">Vertex’s CF portfolio produced</w:t>
      </w:r>
      <w:r>
        <w:t xml:space="preserve"> </w:t>
      </w:r>
      <w:r>
        <w:rPr>
          <w:b/>
          <w:bCs/>
        </w:rPr>
        <w:t xml:space="preserve">$2.92 billion in Q1</w:t>
      </w:r>
      <w:r>
        <w:t xml:space="preserve">, comprising:</w:t>
      </w:r>
    </w:p>
    <w:p>
      <w:pPr>
        <w:pStyle w:val="Compact"/>
        <w:numPr>
          <w:ilvl w:val="0"/>
          <w:numId w:val="1002"/>
        </w:numPr>
      </w:pPr>
      <w:r>
        <w:rPr>
          <w:b/>
          <w:bCs/>
        </w:rPr>
        <w:t xml:space="preserve">TRIKAFTA/KAFTRIO:</w:t>
      </w:r>
      <w:r>
        <w:t xml:space="preserve"> </w:t>
      </w:r>
      <w:r>
        <w:t xml:space="preserve">$2.35 billion</w:t>
      </w:r>
    </w:p>
    <w:p>
      <w:pPr>
        <w:pStyle w:val="Compact"/>
        <w:numPr>
          <w:ilvl w:val="0"/>
          <w:numId w:val="1002"/>
        </w:numPr>
      </w:pPr>
      <w:r>
        <w:rPr>
          <w:b/>
          <w:bCs/>
        </w:rPr>
        <w:t xml:space="preserve">ALYFTREK:</w:t>
      </w:r>
      <w:r>
        <w:t xml:space="preserve"> </w:t>
      </w:r>
      <w:r>
        <w:t xml:space="preserve">$424 million</w:t>
      </w:r>
    </w:p>
    <w:p>
      <w:pPr>
        <w:pStyle w:val="Compact"/>
        <w:numPr>
          <w:ilvl w:val="0"/>
          <w:numId w:val="1002"/>
        </w:numPr>
      </w:pPr>
      <w:r>
        <w:rPr>
          <w:b/>
          <w:bCs/>
        </w:rPr>
        <w:t xml:space="preserve">Other CF products:</w:t>
      </w:r>
      <w:r>
        <w:t xml:space="preserve"> </w:t>
      </w:r>
      <w:r>
        <w:t xml:space="preserve">$136 million</w:t>
      </w:r>
    </w:p>
    <w:p>
      <w:pPr>
        <w:pStyle w:val="FirstParagraph"/>
      </w:pPr>
      <w:r>
        <w:t xml:space="preserve">ALYFTREK is increasingly replacing TRIKAFTA in eligible patients, while also expanding through international reimbursement, newly eligible mutations and younger age groups. Consequently, ALYFTREK growth and TRIKAFTA weakness should not be interpreted independently: some of the change is planned internal conversion rather than lost franchise demand. (</w:t>
      </w:r>
      <w:hyperlink r:id="rId12">
        <w:r>
          <w:rPr>
            <w:rStyle w:val="Hyperlink"/>
          </w:rPr>
          <w:t xml:space="preserve">investors.vrtx.com</w:t>
        </w:r>
      </w:hyperlink>
      <w:r>
        <w:t xml:space="preserve">)</w:t>
      </w:r>
    </w:p>
    <w:p>
      <w:pPr>
        <w:pStyle w:val="BodyText"/>
      </w:pPr>
      <w:r>
        <w:t xml:space="preserve">The published consensus for TRIKAFTA/KAFTRIO is approximately</w:t>
      </w:r>
      <w:r>
        <w:t xml:space="preserve"> </w:t>
      </w:r>
      <w:r>
        <w:rPr>
          <w:b/>
          <w:bCs/>
        </w:rPr>
        <w:t xml:space="preserve">$2.45 billion</w:t>
      </w:r>
      <w:r>
        <w:t xml:space="preserve"> </w:t>
      </w:r>
      <w:r>
        <w:t xml:space="preserve">in Q2. (</w:t>
      </w:r>
      <w:hyperlink r:id="rId14">
        <w:r>
          <w:rPr>
            <w:rStyle w:val="Hyperlink"/>
          </w:rPr>
          <w:t xml:space="preserve">zacks.com</w:t>
        </w:r>
      </w:hyperlink>
      <w:r>
        <w:t xml:space="preserve">)</w:t>
      </w:r>
    </w:p>
    <w:bookmarkStart w:id="15" w:name="what-matters"/>
    <w:p>
      <w:pPr>
        <w:pStyle w:val="Heading3"/>
      </w:pPr>
      <w:r>
        <w:t xml:space="preserve">What matters</w:t>
      </w:r>
    </w:p>
    <w:p>
      <w:pPr>
        <w:pStyle w:val="Compact"/>
        <w:numPr>
          <w:ilvl w:val="0"/>
          <w:numId w:val="1003"/>
        </w:numPr>
      </w:pPr>
      <w:r>
        <w:rPr>
          <w:b/>
          <w:bCs/>
        </w:rPr>
        <w:t xml:space="preserve">Total CF revenue growth</w:t>
      </w:r>
      <w:r>
        <w:t xml:space="preserve">, rather than whether revenue moves between TRIKAFTA and ALYFTREK.</w:t>
      </w:r>
    </w:p>
    <w:p>
      <w:pPr>
        <w:pStyle w:val="Compact"/>
        <w:numPr>
          <w:ilvl w:val="0"/>
          <w:numId w:val="1003"/>
        </w:numPr>
      </w:pPr>
      <w:r>
        <w:t xml:space="preserve">ALYFTREK uptake in reimbursed international markets.</w:t>
      </w:r>
    </w:p>
    <w:p>
      <w:pPr>
        <w:pStyle w:val="Compact"/>
        <w:numPr>
          <w:ilvl w:val="0"/>
          <w:numId w:val="1003"/>
        </w:numPr>
      </w:pPr>
      <w:r>
        <w:t xml:space="preserve">Progress on submissions for younger children.</w:t>
      </w:r>
    </w:p>
    <w:p>
      <w:pPr>
        <w:pStyle w:val="Compact"/>
        <w:numPr>
          <w:ilvl w:val="0"/>
          <w:numId w:val="1003"/>
        </w:numPr>
      </w:pPr>
      <w:r>
        <w:t xml:space="preserve">The number of newly treated patients versus patients merely switching products.</w:t>
      </w:r>
    </w:p>
    <w:p>
      <w:pPr>
        <w:pStyle w:val="Compact"/>
        <w:numPr>
          <w:ilvl w:val="0"/>
          <w:numId w:val="1003"/>
        </w:numPr>
      </w:pPr>
      <w:r>
        <w:t xml:space="preserve">Pricing and foreign-exchange effects.</w:t>
      </w:r>
    </w:p>
    <w:bookmarkEnd w:id="15"/>
    <w:bookmarkStart w:id="16" w:name="bullish-read"/>
    <w:p>
      <w:pPr>
        <w:pStyle w:val="Heading3"/>
      </w:pPr>
      <w:r>
        <w:t xml:space="preserve">Bullish read</w:t>
      </w:r>
    </w:p>
    <w:p>
      <w:pPr>
        <w:pStyle w:val="FirstParagraph"/>
      </w:pPr>
      <w:r>
        <w:t xml:space="preserve">Total CF revenue grows solidly despite the internal product transition, and management describes ALYFTREK adoption as broad-based across new, returning and switching patients.</w:t>
      </w:r>
    </w:p>
    <w:bookmarkEnd w:id="16"/>
    <w:bookmarkStart w:id="17" w:name="bearish-read"/>
    <w:p>
      <w:pPr>
        <w:pStyle w:val="Heading3"/>
      </w:pPr>
      <w:r>
        <w:t xml:space="preserve">Bearish read</w:t>
      </w:r>
    </w:p>
    <w:p>
      <w:pPr>
        <w:pStyle w:val="FirstParagraph"/>
      </w:pPr>
      <w:r>
        <w:t xml:space="preserve">ALYFTREK posts a strong headline number but mainly cannibalizes TRIKAFTA, leaving overall CF growth below expectations.</w:t>
      </w:r>
    </w:p>
    <w:p>
      <w:r>
        <w:pict>
          <v:rect style="width:0;height:1.5pt" o:hralign="center" o:hrstd="t" o:hr="t"/>
        </w:pict>
      </w:r>
    </w:p>
    <w:bookmarkEnd w:id="17"/>
    <w:bookmarkEnd w:id="18"/>
    <w:bookmarkStart w:id="21" w:name="X4a875a1f30f86c1e8f5f78add2ccb008a113c49"/>
    <w:p>
      <w:pPr>
        <w:pStyle w:val="Heading2"/>
      </w:pPr>
      <w:r>
        <w:t xml:space="preserve">2. JOURNAVX is probably the most important commercial KPI</w:t>
      </w:r>
    </w:p>
    <w:p>
      <w:pPr>
        <w:pStyle w:val="FirstParagraph"/>
      </w:pPr>
      <w:r>
        <w:t xml:space="preserve">JOURNAVX generated</w:t>
      </w:r>
      <w:r>
        <w:t xml:space="preserve"> </w:t>
      </w:r>
      <w:r>
        <w:rPr>
          <w:b/>
          <w:bCs/>
        </w:rPr>
        <w:t xml:space="preserve">$29 million of Q1 revenue</w:t>
      </w:r>
      <w:r>
        <w:t xml:space="preserve"> </w:t>
      </w:r>
      <w:r>
        <w:t xml:space="preserve">on more than</w:t>
      </w:r>
      <w:r>
        <w:t xml:space="preserve"> </w:t>
      </w:r>
      <w:r>
        <w:rPr>
          <w:b/>
          <w:bCs/>
        </w:rPr>
        <w:t xml:space="preserve">350,000 filled prescriptions</w:t>
      </w:r>
      <w:r>
        <w:t xml:space="preserve">. Management said Q1 was affected by inventory destocking, seasonal factors and continued use of patient-support programs. At the time of the Q1 call, approximately 240 million U.S. lives had reimbursed access, the field force had doubled to 300 representatives, and management remained committed to more than tripling the roughly 550,000 prescriptions filled in 2025. (</w:t>
      </w:r>
      <w:hyperlink r:id="rId12">
        <w:r>
          <w:rPr>
            <w:rStyle w:val="Hyperlink"/>
          </w:rPr>
          <w:t xml:space="preserve">investors.vrtx.com</w:t>
        </w:r>
      </w:hyperlink>
      <w:r>
        <w:t xml:space="preserve">)</w:t>
      </w:r>
    </w:p>
    <w:p>
      <w:pPr>
        <w:pStyle w:val="BodyText"/>
      </w:pPr>
      <w:r>
        <w:t xml:space="preserve">The key issue is not simply prescription growth. It is whether prescription growth is translating into proportionately stronger revenue as payer access expands and gross-to-net discounts normalize.</w:t>
      </w:r>
    </w:p>
    <w:bookmarkStart w:id="19" w:name="questions-the-report-should-answer"/>
    <w:p>
      <w:pPr>
        <w:pStyle w:val="Heading3"/>
      </w:pPr>
      <w:r>
        <w:t xml:space="preserve">Questions the report should answer</w:t>
      </w:r>
    </w:p>
    <w:p>
      <w:pPr>
        <w:pStyle w:val="Compact"/>
        <w:numPr>
          <w:ilvl w:val="0"/>
          <w:numId w:val="1004"/>
        </w:numPr>
      </w:pPr>
      <w:r>
        <w:t xml:space="preserve">How many prescriptions were filled in Q2?</w:t>
      </w:r>
    </w:p>
    <w:p>
      <w:pPr>
        <w:pStyle w:val="Compact"/>
        <w:numPr>
          <w:ilvl w:val="0"/>
          <w:numId w:val="1004"/>
        </w:numPr>
      </w:pPr>
      <w:r>
        <w:t xml:space="preserve">Is the company still on track for</w:t>
      </w:r>
      <w:r>
        <w:t xml:space="preserve"> </w:t>
      </w:r>
      <w:r>
        <w:rPr>
          <w:b/>
          <w:bCs/>
        </w:rPr>
        <w:t xml:space="preserve">more than 1.65 million prescriptions during 2026</w:t>
      </w:r>
      <w:r>
        <w:t xml:space="preserve">?</w:t>
      </w:r>
    </w:p>
    <w:p>
      <w:pPr>
        <w:pStyle w:val="Compact"/>
        <w:numPr>
          <w:ilvl w:val="0"/>
          <w:numId w:val="1004"/>
        </w:numPr>
      </w:pPr>
      <w:r>
        <w:t xml:space="preserve">How much has Medicare Part D coverage contributed?</w:t>
      </w:r>
    </w:p>
    <w:p>
      <w:pPr>
        <w:pStyle w:val="Compact"/>
        <w:numPr>
          <w:ilvl w:val="0"/>
          <w:numId w:val="1004"/>
        </w:numPr>
      </w:pPr>
      <w:r>
        <w:t xml:space="preserve">Has the patient-support program begun to taper?</w:t>
      </w:r>
    </w:p>
    <w:p>
      <w:pPr>
        <w:pStyle w:val="Compact"/>
        <w:numPr>
          <w:ilvl w:val="0"/>
          <w:numId w:val="1004"/>
        </w:numPr>
      </w:pPr>
      <w:r>
        <w:t xml:space="preserve">Is revenue now growing faster than prescriptions, as management forecast?</w:t>
      </w:r>
    </w:p>
    <w:p>
      <w:pPr>
        <w:pStyle w:val="Compact"/>
        <w:numPr>
          <w:ilvl w:val="0"/>
          <w:numId w:val="1004"/>
        </w:numPr>
      </w:pPr>
      <w:r>
        <w:t xml:space="preserve">Are hospital formulary additions producing sustained utilization after discharge?</w:t>
      </w:r>
    </w:p>
    <w:p>
      <w:pPr>
        <w:pStyle w:val="Compact"/>
        <w:numPr>
          <w:ilvl w:val="0"/>
          <w:numId w:val="1004"/>
        </w:numPr>
      </w:pPr>
      <w:r>
        <w:t xml:space="preserve">Is prescribing broadening beyond the initial surgical and hospital settings?</w:t>
      </w:r>
    </w:p>
    <w:bookmarkEnd w:id="19"/>
    <w:bookmarkStart w:id="20" w:name="the-bar"/>
    <w:p>
      <w:pPr>
        <w:pStyle w:val="Heading3"/>
      </w:pPr>
      <w:r>
        <w:t xml:space="preserve">The bar</w:t>
      </w:r>
    </w:p>
    <w:p>
      <w:pPr>
        <w:pStyle w:val="FirstParagraph"/>
      </w:pPr>
      <w:r>
        <w:t xml:space="preserve">A sequential revenue increase alone is not enough. Investors will want a meaningful acceleration from Q1’s $29 million and evidence that normalized reimbursement—not free or heavily subsidized access—is driving the improvement.</w:t>
      </w:r>
    </w:p>
    <w:p>
      <w:pPr>
        <w:pStyle w:val="BodyText"/>
      </w:pPr>
      <w:r>
        <w:t xml:space="preserve">A weak revenue conversion despite high prescription volume would raise questions about JOURNAVX’s ultimate pricing power and commercial productivity.</w:t>
      </w:r>
    </w:p>
    <w:p>
      <w:r>
        <w:pict>
          <v:rect style="width:0;height:1.5pt" o:hralign="center" o:hrstd="t" o:hr="t"/>
        </w:pict>
      </w:r>
    </w:p>
    <w:bookmarkEnd w:id="20"/>
    <w:bookmarkEnd w:id="21"/>
    <w:bookmarkStart w:id="24" w:name="X3719a986505d462667e0a572906c462f526762f"/>
    <w:p>
      <w:pPr>
        <w:pStyle w:val="Heading2"/>
      </w:pPr>
      <w:r>
        <w:t xml:space="preserve">3. CASGEVY should accelerate, but quarterly revenue will remain uneven</w:t>
      </w:r>
    </w:p>
    <w:p>
      <w:pPr>
        <w:pStyle w:val="FirstParagraph"/>
      </w:pPr>
      <w:r>
        <w:t xml:space="preserve">CASGEVY produced</w:t>
      </w:r>
      <w:r>
        <w:t xml:space="preserve"> </w:t>
      </w:r>
      <w:r>
        <w:rPr>
          <w:b/>
          <w:bCs/>
        </w:rPr>
        <w:t xml:space="preserve">$43 million in Q1</w:t>
      </w:r>
      <w:r>
        <w:t xml:space="preserve">, up from $14 million a year earlier. Management said more than 500 patients had initiated the treatment journey, with patients at various stages between referral, cell collection, manufacturing and infusion. Because revenue is generally recognized around infusion, quarterly sales can be volatile even when the underlying patient funnel is growing. (</w:t>
      </w:r>
      <w:hyperlink r:id="rId12">
        <w:r>
          <w:rPr>
            <w:rStyle w:val="Hyperlink"/>
          </w:rPr>
          <w:t xml:space="preserve">investors.vrtx.com</w:t>
        </w:r>
      </w:hyperlink>
      <w:r>
        <w:t xml:space="preserve">)</w:t>
      </w:r>
    </w:p>
    <w:p>
      <w:pPr>
        <w:pStyle w:val="BodyText"/>
      </w:pPr>
      <w:r>
        <w:t xml:space="preserve">On July 1, the FDA expanded CASGEVY’s U.S. indication to patients</w:t>
      </w:r>
      <w:r>
        <w:t xml:space="preserve"> </w:t>
      </w:r>
      <w:r>
        <w:rPr>
          <w:b/>
          <w:bCs/>
        </w:rPr>
        <w:t xml:space="preserve">ages two and older</w:t>
      </w:r>
      <w:r>
        <w:t xml:space="preserve"> </w:t>
      </w:r>
      <w:r>
        <w:t xml:space="preserve">with qualifying sickle-cell disease or transfusion-dependent beta thalassemia. Vertex estimates that approximately 5,500 additional U.S. children are now eligible. That approval came after the quarter ended, so it is primarily a future growth driver rather than a Q2 revenue contributor. (</w:t>
      </w:r>
      <w:hyperlink r:id="rId22">
        <w:r>
          <w:rPr>
            <w:rStyle w:val="Hyperlink"/>
          </w:rPr>
          <w:t xml:space="preserve">investors.vrtx.com</w:t>
        </w:r>
      </w:hyperlink>
      <w:r>
        <w:t xml:space="preserve">)</w:t>
      </w:r>
    </w:p>
    <w:bookmarkStart w:id="23" w:name="important-disclosures"/>
    <w:p>
      <w:pPr>
        <w:pStyle w:val="Heading3"/>
      </w:pPr>
      <w:r>
        <w:t xml:space="preserve">Important disclosures</w:t>
      </w:r>
    </w:p>
    <w:p>
      <w:pPr>
        <w:pStyle w:val="Compact"/>
        <w:numPr>
          <w:ilvl w:val="0"/>
          <w:numId w:val="1005"/>
        </w:numPr>
      </w:pPr>
      <w:r>
        <w:t xml:space="preserve">Q2 revenue and number of completed infusions.</w:t>
      </w:r>
    </w:p>
    <w:p>
      <w:pPr>
        <w:pStyle w:val="Compact"/>
        <w:numPr>
          <w:ilvl w:val="0"/>
          <w:numId w:val="1005"/>
        </w:numPr>
      </w:pPr>
      <w:r>
        <w:t xml:space="preserve">Change in the number of patients entering the treatment funnel.</w:t>
      </w:r>
    </w:p>
    <w:p>
      <w:pPr>
        <w:pStyle w:val="Compact"/>
        <w:numPr>
          <w:ilvl w:val="0"/>
          <w:numId w:val="1005"/>
        </w:numPr>
      </w:pPr>
      <w:r>
        <w:t xml:space="preserve">Manufacturing turnaround and treatment-center capacity.</w:t>
      </w:r>
    </w:p>
    <w:p>
      <w:pPr>
        <w:pStyle w:val="Compact"/>
        <w:numPr>
          <w:ilvl w:val="0"/>
          <w:numId w:val="1005"/>
        </w:numPr>
      </w:pPr>
      <w:r>
        <w:t xml:space="preserve">Progress implementing reimbursement in Germany.</w:t>
      </w:r>
    </w:p>
    <w:p>
      <w:pPr>
        <w:pStyle w:val="Compact"/>
        <w:numPr>
          <w:ilvl w:val="0"/>
          <w:numId w:val="1005"/>
        </w:numPr>
      </w:pPr>
      <w:r>
        <w:t xml:space="preserve">Whether management still has sufficient visibility to the 2026 infusion schedule.</w:t>
      </w:r>
    </w:p>
    <w:p>
      <w:pPr>
        <w:pStyle w:val="Compact"/>
        <w:numPr>
          <w:ilvl w:val="0"/>
          <w:numId w:val="1005"/>
        </w:numPr>
      </w:pPr>
      <w:r>
        <w:t xml:space="preserve">Early implications of the pediatric label expansion.</w:t>
      </w:r>
    </w:p>
    <w:p>
      <w:pPr>
        <w:pStyle w:val="FirstParagraph"/>
      </w:pPr>
      <w:r>
        <w:t xml:space="preserve">Investors should avoid overreacting to one quarter of CASGEVY sales, but a second consecutive quarter lacking clear acceleration would weaken confidence in the $500 million-plus combined non-CF target.</w:t>
      </w:r>
    </w:p>
    <w:p>
      <w:r>
        <w:pict>
          <v:rect style="width:0;height:1.5pt" o:hralign="center" o:hrstd="t" o:hr="t"/>
        </w:pict>
      </w:r>
    </w:p>
    <w:bookmarkEnd w:id="23"/>
    <w:bookmarkEnd w:id="24"/>
    <w:bookmarkStart w:id="28" w:name="Xa548f1f6267ff1a6d8da2e0cb5523a7150c0364"/>
    <w:p>
      <w:pPr>
        <w:pStyle w:val="Heading2"/>
      </w:pPr>
      <w:r>
        <w:t xml:space="preserve">4. Full-year guidance is the financial fulcrum</w:t>
      </w:r>
    </w:p>
    <w:p>
      <w:pPr>
        <w:pStyle w:val="FirstParagraph"/>
      </w:pPr>
      <w:r>
        <w:t xml:space="preserve">The current</w:t>
      </w:r>
      <w:r>
        <w:t xml:space="preserve"> </w:t>
      </w:r>
      <m:oMath>
        <m:r>
          <m:t>12.95</m:t>
        </m:r>
        <m:r>
          <m:t>b</m:t>
        </m:r>
        <m:r>
          <m:t>i</m:t>
        </m:r>
        <m:r>
          <m:t>l</m:t>
        </m:r>
        <m:r>
          <m:t>l</m:t>
        </m:r>
        <m:r>
          <m:t>i</m:t>
        </m:r>
        <m:r>
          <m:t>o</m:t>
        </m:r>
        <m:r>
          <m:t>n</m:t>
        </m:r>
        <m:r>
          <m:rPr>
            <m:sty m:val="p"/>
          </m:rPr>
          <m:t>–</m:t>
        </m:r>
      </m:oMath>
      <w:r>
        <w:rPr>
          <w:b/>
          <w:bCs/>
        </w:rPr>
        <w:t xml:space="preserve">13.10 billion</w:t>
      </w:r>
      <w:r>
        <w:t xml:space="preserve"> </w:t>
      </w:r>
      <w:r>
        <w:t xml:space="preserve">revenue range assumes:</w:t>
      </w:r>
    </w:p>
    <w:p>
      <w:pPr>
        <w:pStyle w:val="Compact"/>
        <w:numPr>
          <w:ilvl w:val="0"/>
          <w:numId w:val="1006"/>
        </w:numPr>
      </w:pPr>
      <w:r>
        <w:t xml:space="preserve">Continued CF growth and ALYFTREK rollout.</w:t>
      </w:r>
    </w:p>
    <w:p>
      <w:pPr>
        <w:pStyle w:val="Compact"/>
        <w:numPr>
          <w:ilvl w:val="0"/>
          <w:numId w:val="1006"/>
        </w:numPr>
      </w:pPr>
      <w:r>
        <w:t xml:space="preserve">At least $500 million from CASGEVY and JOURNAVX.</w:t>
      </w:r>
    </w:p>
    <w:p>
      <w:pPr>
        <w:pStyle w:val="Compact"/>
        <w:numPr>
          <w:ilvl w:val="0"/>
          <w:numId w:val="1006"/>
        </w:numPr>
      </w:pPr>
      <w:r>
        <w:t xml:space="preserve">No material 2026 tariff impact.</w:t>
      </w:r>
    </w:p>
    <w:p>
      <w:pPr>
        <w:pStyle w:val="Compact"/>
        <w:numPr>
          <w:ilvl w:val="0"/>
          <w:numId w:val="1006"/>
        </w:numPr>
      </w:pPr>
      <w:r>
        <w:t xml:space="preserve">Continued investment in JOURNAVX commercialization and renal launch preparation. (</w:t>
      </w:r>
      <w:hyperlink r:id="rId25">
        <w:r>
          <w:rPr>
            <w:rStyle w:val="Hyperlink"/>
          </w:rPr>
          <w:t xml:space="preserve">sec.gov</w:t>
        </w:r>
      </w:hyperlink>
      <w:r>
        <w:t xml:space="preserve">)</w:t>
      </w:r>
    </w:p>
    <w:bookmarkStart w:id="26" w:name="what-would-count-as-positive"/>
    <w:p>
      <w:pPr>
        <w:pStyle w:val="Heading3"/>
      </w:pPr>
      <w:r>
        <w:t xml:space="preserve">What would count as positive?</w:t>
      </w:r>
    </w:p>
    <w:p>
      <w:pPr>
        <w:pStyle w:val="Compact"/>
        <w:numPr>
          <w:ilvl w:val="0"/>
          <w:numId w:val="1007"/>
        </w:numPr>
      </w:pPr>
      <w:r>
        <w:t xml:space="preserve">Raising the low end of the revenue range.</w:t>
      </w:r>
    </w:p>
    <w:p>
      <w:pPr>
        <w:pStyle w:val="Compact"/>
        <w:numPr>
          <w:ilvl w:val="0"/>
          <w:numId w:val="1007"/>
        </w:numPr>
      </w:pPr>
      <w:r>
        <w:t xml:space="preserve">Increasing the non-CF revenue target above $500 million.</w:t>
      </w:r>
    </w:p>
    <w:p>
      <w:pPr>
        <w:pStyle w:val="Compact"/>
        <w:numPr>
          <w:ilvl w:val="0"/>
          <w:numId w:val="1007"/>
        </w:numPr>
      </w:pPr>
      <w:r>
        <w:t xml:space="preserve">Keeping operating-expense guidance intact despite pipeline and launch spending.</w:t>
      </w:r>
    </w:p>
    <w:p>
      <w:pPr>
        <w:pStyle w:val="Compact"/>
        <w:numPr>
          <w:ilvl w:val="0"/>
          <w:numId w:val="1007"/>
        </w:numPr>
      </w:pPr>
      <w:r>
        <w:t xml:space="preserve">More precise second-half expectations for JOURNAVX and CASGEVY.</w:t>
      </w:r>
    </w:p>
    <w:bookmarkEnd w:id="26"/>
    <w:bookmarkStart w:id="27" w:name="what-would-disappoint"/>
    <w:p>
      <w:pPr>
        <w:pStyle w:val="Heading3"/>
      </w:pPr>
      <w:r>
        <w:t xml:space="preserve">What would disappoint?</w:t>
      </w:r>
    </w:p>
    <w:p>
      <w:pPr>
        <w:pStyle w:val="Compact"/>
        <w:numPr>
          <w:ilvl w:val="0"/>
          <w:numId w:val="1008"/>
        </w:numPr>
      </w:pPr>
      <w:r>
        <w:t xml:space="preserve">Reiterating guidance while acknowledging that non-CF sales are tracking toward only the minimum.</w:t>
      </w:r>
    </w:p>
    <w:p>
      <w:pPr>
        <w:pStyle w:val="Compact"/>
        <w:numPr>
          <w:ilvl w:val="0"/>
          <w:numId w:val="1008"/>
        </w:numPr>
      </w:pPr>
      <w:r>
        <w:t xml:space="preserve">Higher SG&amp;A or renal launch spending without better revenue expectations.</w:t>
      </w:r>
    </w:p>
    <w:p>
      <w:pPr>
        <w:pStyle w:val="Compact"/>
        <w:numPr>
          <w:ilvl w:val="0"/>
          <w:numId w:val="1008"/>
        </w:numPr>
      </w:pPr>
      <w:r>
        <w:t xml:space="preserve">Dependence on an unusually strong Q4 to reach the annual range.</w:t>
      </w:r>
    </w:p>
    <w:p>
      <w:pPr>
        <w:pStyle w:val="Compact"/>
        <w:numPr>
          <w:ilvl w:val="0"/>
          <w:numId w:val="1008"/>
        </w:numPr>
      </w:pPr>
      <w:r>
        <w:t xml:space="preserve">Any suggestion that gross-to-net normalization for JOURNAVX is slipping into 2027.</w:t>
      </w:r>
    </w:p>
    <w:p>
      <w:r>
        <w:pict>
          <v:rect style="width:0;height:1.5pt" o:hralign="center" o:hrstd="t" o:hr="t"/>
        </w:pict>
      </w:r>
    </w:p>
    <w:bookmarkEnd w:id="27"/>
    <w:bookmarkEnd w:id="28"/>
    <w:bookmarkStart w:id="31" w:name="X89ca0b88426bf83cd64e40e7f1b251fc5506d6b"/>
    <w:p>
      <w:pPr>
        <w:pStyle w:val="Heading2"/>
      </w:pPr>
      <w:r>
        <w:t xml:space="preserve">5. Crinetics will dominate the Q&amp;A</w:t>
      </w:r>
    </w:p>
    <w:p>
      <w:pPr>
        <w:pStyle w:val="FirstParagraph"/>
      </w:pPr>
      <w:r>
        <w:t xml:space="preserve">On July 6, Vertex agreed to acquire Crinetics for</w:t>
      </w:r>
      <w:r>
        <w:t xml:space="preserve"> </w:t>
      </w:r>
      <m:oMath>
        <m:r>
          <m:t>85</m:t>
        </m:r>
        <m:r>
          <m:t>p</m:t>
        </m:r>
        <m:r>
          <m:t>e</m:t>
        </m:r>
        <m:r>
          <m:t>r</m:t>
        </m:r>
        <m:r>
          <m:t>s</m:t>
        </m:r>
        <m:r>
          <m:t>h</m:t>
        </m:r>
        <m:r>
          <m:t>a</m:t>
        </m:r>
        <m:r>
          <m:t>r</m:t>
        </m:r>
        <m:r>
          <m:t>e</m:t>
        </m:r>
        <m:r>
          <m:t>i</m:t>
        </m:r>
        <m:r>
          <m:t>n</m:t>
        </m:r>
        <m:r>
          <m:t>c</m:t>
        </m:r>
        <m:r>
          <m:t>a</m:t>
        </m:r>
        <m:r>
          <m:t>s</m:t>
        </m:r>
        <m:r>
          <m:t>h</m:t>
        </m:r>
        <m:r>
          <m:rPr>
            <m:sty m:val="p"/>
          </m:rPr>
          <m:t>*</m:t>
        </m:r>
        <m:r>
          <m:rPr>
            <m:sty m:val="p"/>
          </m:rPr>
          <m:t>*</m:t>
        </m:r>
        <m:r>
          <m:rPr>
            <m:sty m:val="p"/>
          </m:rPr>
          <m:t>,</m:t>
        </m:r>
        <m:r>
          <m:t>r</m:t>
        </m:r>
        <m:r>
          <m:t>e</m:t>
        </m:r>
        <m:r>
          <m:t>p</m:t>
        </m:r>
        <m:r>
          <m:t>r</m:t>
        </m:r>
        <m:r>
          <m:t>e</m:t>
        </m:r>
        <m:r>
          <m:t>s</m:t>
        </m:r>
        <m:r>
          <m:t>e</m:t>
        </m:r>
        <m:r>
          <m:t>n</m:t>
        </m:r>
        <m:r>
          <m:t>t</m:t>
        </m:r>
        <m:r>
          <m:t>i</m:t>
        </m:r>
        <m:r>
          <m:t>n</m:t>
        </m:r>
        <m:r>
          <m:t>g</m:t>
        </m:r>
        <m:r>
          <m:t>a</m:t>
        </m:r>
        <m:r>
          <m:rPr>
            <m:sty m:val="p"/>
          </m:rPr>
          <m:t>*</m:t>
        </m:r>
        <m:r>
          <m:rPr>
            <m:sty m:val="p"/>
          </m:rPr>
          <m:t>*</m:t>
        </m:r>
      </m:oMath>
      <w:r>
        <w:rPr>
          <w:b/>
          <w:bCs/>
        </w:rPr>
        <w:t xml:space="preserve">10.0 billion equity value</w:t>
      </w:r>
      <w:r>
        <w:t xml:space="preserve"> </w:t>
      </w:r>
      <w:r>
        <w:t xml:space="preserve">and approximately</w:t>
      </w:r>
      <w:r>
        <w:t xml:space="preserve"> </w:t>
      </w:r>
      <w:r>
        <w:rPr>
          <w:b/>
          <w:bCs/>
        </w:rPr>
        <w:t xml:space="preserve">$8.8 billion net of acquired cash</w:t>
      </w:r>
      <w:r>
        <w:t xml:space="preserve">. The deal is expected to close in Q3 and will be funded with cash and debt, including $4.5 billion of committed bridge financing. Vertex expects to update its 2026 guidance when the transaction closes. (</w:t>
      </w:r>
      <w:hyperlink r:id="rId29">
        <w:r>
          <w:rPr>
            <w:rStyle w:val="Hyperlink"/>
          </w:rPr>
          <w:t xml:space="preserve">investors.vrtx.com</w:t>
        </w:r>
      </w:hyperlink>
      <w:r>
        <w:t xml:space="preserve">)</w:t>
      </w:r>
    </w:p>
    <w:p>
      <w:pPr>
        <w:pStyle w:val="BodyText"/>
      </w:pPr>
      <w:r>
        <w:t xml:space="preserve">The acquisition adds:</w:t>
      </w:r>
    </w:p>
    <w:p>
      <w:pPr>
        <w:pStyle w:val="Compact"/>
        <w:numPr>
          <w:ilvl w:val="0"/>
          <w:numId w:val="1009"/>
        </w:numPr>
      </w:pPr>
      <w:r>
        <w:rPr>
          <w:b/>
          <w:bCs/>
        </w:rPr>
        <w:t xml:space="preserve">PALSONIFY</w:t>
      </w:r>
      <w:r>
        <w:t xml:space="preserve">, a launched oral therapy for acromegaly.</w:t>
      </w:r>
    </w:p>
    <w:p>
      <w:pPr>
        <w:pStyle w:val="Compact"/>
        <w:numPr>
          <w:ilvl w:val="0"/>
          <w:numId w:val="1009"/>
        </w:numPr>
      </w:pPr>
      <w:r>
        <w:rPr>
          <w:b/>
          <w:bCs/>
        </w:rPr>
        <w:t xml:space="preserve">Atumelnant</w:t>
      </w:r>
      <w:r>
        <w:t xml:space="preserve">, in Phase 3 development for congenital adrenal hyperplasia and Phase 2 development for ACTH-dependent Cushing’s syndrome.</w:t>
      </w:r>
    </w:p>
    <w:p>
      <w:pPr>
        <w:pStyle w:val="Compact"/>
        <w:numPr>
          <w:ilvl w:val="0"/>
          <w:numId w:val="1009"/>
        </w:numPr>
      </w:pPr>
      <w:r>
        <w:t xml:space="preserve">Additional endocrinology research programs.</w:t>
      </w:r>
    </w:p>
    <w:p>
      <w:pPr>
        <w:pStyle w:val="FirstParagraph"/>
      </w:pPr>
      <w:r>
        <w:t xml:space="preserve">Vertex estimates more than</w:t>
      </w:r>
      <w:r>
        <w:t xml:space="preserve"> </w:t>
      </w:r>
      <w:r>
        <w:rPr>
          <w:b/>
          <w:bCs/>
        </w:rPr>
        <w:t xml:space="preserve">$5 billion of combined peak annual revenue potential</w:t>
      </w:r>
      <w:r>
        <w:t xml:space="preserve"> </w:t>
      </w:r>
      <w:r>
        <w:t xml:space="preserve">and expects the deal to become accretive to non-GAAP operating income in 2029. (</w:t>
      </w:r>
      <w:hyperlink r:id="rId29">
        <w:r>
          <w:rPr>
            <w:rStyle w:val="Hyperlink"/>
          </w:rPr>
          <w:t xml:space="preserve">investors.vrtx.com</w:t>
        </w:r>
      </w:hyperlink>
      <w:r>
        <w:t xml:space="preserve">)</w:t>
      </w:r>
    </w:p>
    <w:bookmarkStart w:id="30" w:name="Xb92fefc7005b528d2813de92b609e0f5b13891b"/>
    <w:p>
      <w:pPr>
        <w:pStyle w:val="Heading3"/>
      </w:pPr>
      <w:r>
        <w:t xml:space="preserve">Investor concerns management must address</w:t>
      </w:r>
    </w:p>
    <w:p>
      <w:pPr>
        <w:pStyle w:val="Compact"/>
        <w:numPr>
          <w:ilvl w:val="0"/>
          <w:numId w:val="1010"/>
        </w:numPr>
      </w:pPr>
      <w:r>
        <w:rPr>
          <w:b/>
          <w:bCs/>
        </w:rPr>
        <w:t xml:space="preserve">Price paid:</w:t>
      </w:r>
      <w:r>
        <w:t xml:space="preserve"> </w:t>
      </w:r>
      <w:r>
        <w:t xml:space="preserve">What assumptions support the $8.8 billion net purchase price?</w:t>
      </w:r>
    </w:p>
    <w:p>
      <w:pPr>
        <w:pStyle w:val="Compact"/>
        <w:numPr>
          <w:ilvl w:val="0"/>
          <w:numId w:val="1010"/>
        </w:numPr>
      </w:pPr>
      <w:r>
        <w:rPr>
          <w:b/>
          <w:bCs/>
        </w:rPr>
        <w:t xml:space="preserve">PALSONIFY trajectory:</w:t>
      </w:r>
      <w:r>
        <w:t xml:space="preserve"> </w:t>
      </w:r>
      <w:r>
        <w:t xml:space="preserve">What are current prescriptions, reimbursement coverage and revenue trends?</w:t>
      </w:r>
    </w:p>
    <w:p>
      <w:pPr>
        <w:pStyle w:val="Compact"/>
        <w:numPr>
          <w:ilvl w:val="0"/>
          <w:numId w:val="1010"/>
        </w:numPr>
      </w:pPr>
      <w:r>
        <w:rPr>
          <w:b/>
          <w:bCs/>
        </w:rPr>
        <w:t xml:space="preserve">Atumelnant timing:</w:t>
      </w:r>
      <w:r>
        <w:t xml:space="preserve"> </w:t>
      </w:r>
      <w:r>
        <w:t xml:space="preserve">When could Phase 3 data, filings and launches occur?</w:t>
      </w:r>
    </w:p>
    <w:p>
      <w:pPr>
        <w:pStyle w:val="Compact"/>
        <w:numPr>
          <w:ilvl w:val="0"/>
          <w:numId w:val="1010"/>
        </w:numPr>
      </w:pPr>
      <w:r>
        <w:rPr>
          <w:b/>
          <w:bCs/>
        </w:rPr>
        <w:t xml:space="preserve">Financing:</w:t>
      </w:r>
      <w:r>
        <w:t xml:space="preserve"> </w:t>
      </w:r>
      <w:r>
        <w:t xml:space="preserve">What will debt cost, and how quickly can Vertex deleverage?</w:t>
      </w:r>
    </w:p>
    <w:p>
      <w:pPr>
        <w:pStyle w:val="Compact"/>
        <w:numPr>
          <w:ilvl w:val="0"/>
          <w:numId w:val="1010"/>
        </w:numPr>
      </w:pPr>
      <w:r>
        <w:rPr>
          <w:b/>
          <w:bCs/>
        </w:rPr>
        <w:t xml:space="preserve">Capital allocation:</w:t>
      </w:r>
      <w:r>
        <w:t xml:space="preserve"> </w:t>
      </w:r>
      <w:r>
        <w:t xml:space="preserve">Will share repurchases slow or pause?</w:t>
      </w:r>
    </w:p>
    <w:p>
      <w:pPr>
        <w:pStyle w:val="Compact"/>
        <w:numPr>
          <w:ilvl w:val="0"/>
          <w:numId w:val="1010"/>
        </w:numPr>
      </w:pPr>
      <w:r>
        <w:rPr>
          <w:b/>
          <w:bCs/>
        </w:rPr>
        <w:t xml:space="preserve">Integration:</w:t>
      </w:r>
      <w:r>
        <w:t xml:space="preserve"> </w:t>
      </w:r>
      <w:r>
        <w:t xml:space="preserve">How much of Crinetics’ commercial and R&amp;D infrastructure will be retained?</w:t>
      </w:r>
    </w:p>
    <w:p>
      <w:pPr>
        <w:pStyle w:val="Compact"/>
        <w:numPr>
          <w:ilvl w:val="0"/>
          <w:numId w:val="1010"/>
        </w:numPr>
      </w:pPr>
      <w:r>
        <w:rPr>
          <w:b/>
          <w:bCs/>
        </w:rPr>
        <w:t xml:space="preserve">2027 dilution:</w:t>
      </w:r>
      <w:r>
        <w:t xml:space="preserve"> </w:t>
      </w:r>
      <w:r>
        <w:t xml:space="preserve">The deal may be accretive in 2029, but investors need a clearer bridge through the intervening years.</w:t>
      </w:r>
    </w:p>
    <w:p>
      <w:pPr>
        <w:pStyle w:val="FirstParagraph"/>
      </w:pPr>
      <w:r>
        <w:t xml:space="preserve">The shares closed July 31 at about</w:t>
      </w:r>
      <w:r>
        <w:t xml:space="preserve"> </w:t>
      </w:r>
      <w:r>
        <w:rPr>
          <w:b/>
          <w:bCs/>
        </w:rPr>
        <w:t xml:space="preserve">$477</w:t>
      </w:r>
      <w:r>
        <w:t xml:space="preserve">, roughly 5.5% above the first trading day of 2026 but about 10% below their July 6 close. That suggests the market remains unconvinced enough about the acquisition that management’s tone could materially affect the post-earnings reaction.</w:t>
      </w:r>
    </w:p>
    <w:p>
      <w:r>
        <w:pict>
          <v:rect style="width:0;height:1.5pt" o:hralign="center" o:hrstd="t" o:hr="t"/>
        </w:pict>
      </w:r>
    </w:p>
    <w:bookmarkEnd w:id="30"/>
    <w:bookmarkEnd w:id="31"/>
    <w:bookmarkStart w:id="34" w:name="X3f88d26fb63565a2ef251d790fd37b6d8707ccc"/>
    <w:p>
      <w:pPr>
        <w:pStyle w:val="Heading2"/>
      </w:pPr>
      <w:r>
        <w:t xml:space="preserve">6. Povetacicept: launch preparation now matters as much as clinical data</w:t>
      </w:r>
    </w:p>
    <w:p>
      <w:pPr>
        <w:pStyle w:val="FirstParagraph"/>
      </w:pPr>
      <w:r>
        <w:t xml:space="preserve">The FDA accepted Vertex’s povetacicept application for accelerated approval in IgA nephropathy and assigned a</w:t>
      </w:r>
      <w:r>
        <w:t xml:space="preserve"> </w:t>
      </w:r>
      <w:r>
        <w:rPr>
          <w:b/>
          <w:bCs/>
        </w:rPr>
        <w:t xml:space="preserve">November 30, 2026 PDUFA date</w:t>
      </w:r>
      <w:r>
        <w:t xml:space="preserve">. The application is supported by the RAINIER Phase 3 interim analysis, in which povetacicept reduced proteinuria by 52% from baseline and 49.8% versus placebo at Week 36. (</w:t>
      </w:r>
      <w:hyperlink r:id="rId32">
        <w:r>
          <w:rPr>
            <w:rStyle w:val="Hyperlink"/>
          </w:rPr>
          <w:t xml:space="preserve">investors.vrtx.com</w:t>
        </w:r>
      </w:hyperlink>
      <w:r>
        <w:t xml:space="preserve">)</w:t>
      </w:r>
    </w:p>
    <w:p>
      <w:pPr>
        <w:pStyle w:val="BodyText"/>
      </w:pPr>
      <w:r>
        <w:t xml:space="preserve">The commercial environment became more competitive on July 7, when the FDA approved Vera Therapeutics’</w:t>
      </w:r>
      <w:r>
        <w:t xml:space="preserve"> </w:t>
      </w:r>
      <w:r>
        <w:rPr>
          <w:b/>
          <w:bCs/>
        </w:rPr>
        <w:t xml:space="preserve">TRUTAKNA—atacicept—as a BAFF/APRIL-targeting treatment for IgAN</w:t>
      </w:r>
      <w:r>
        <w:t xml:space="preserve">. Povetacicept can no longer claim first-mover status in that mechanistic category. (</w:t>
      </w:r>
      <w:hyperlink r:id="rId33">
        <w:r>
          <w:rPr>
            <w:rStyle w:val="Hyperlink"/>
          </w:rPr>
          <w:t xml:space="preserve">sec.gov</w:t>
        </w:r>
      </w:hyperlink>
      <w:r>
        <w:t xml:space="preserve">)</w:t>
      </w:r>
    </w:p>
    <w:p>
      <w:pPr>
        <w:pStyle w:val="BodyText"/>
      </w:pPr>
      <w:r>
        <w:t xml:space="preserve">Vertex therefore needs to emphasize differentiation through:</w:t>
      </w:r>
    </w:p>
    <w:p>
      <w:pPr>
        <w:pStyle w:val="Compact"/>
        <w:numPr>
          <w:ilvl w:val="0"/>
          <w:numId w:val="1011"/>
        </w:numPr>
      </w:pPr>
      <w:r>
        <w:t xml:space="preserve">Magnitude and consistency of proteinuria reduction.</w:t>
      </w:r>
    </w:p>
    <w:p>
      <w:pPr>
        <w:pStyle w:val="Compact"/>
        <w:numPr>
          <w:ilvl w:val="0"/>
          <w:numId w:val="1011"/>
        </w:numPr>
      </w:pPr>
      <w:r>
        <w:t xml:space="preserve">Safety, particularly infections and immunoglobulin changes.</w:t>
      </w:r>
    </w:p>
    <w:p>
      <w:pPr>
        <w:pStyle w:val="Compact"/>
        <w:numPr>
          <w:ilvl w:val="0"/>
          <w:numId w:val="1011"/>
        </w:numPr>
      </w:pPr>
      <w:r>
        <w:t xml:space="preserve">Every-four-week administration using a low-volume autoinjector.</w:t>
      </w:r>
    </w:p>
    <w:p>
      <w:pPr>
        <w:pStyle w:val="Compact"/>
        <w:numPr>
          <w:ilvl w:val="0"/>
          <w:numId w:val="1011"/>
        </w:numPr>
      </w:pPr>
      <w:r>
        <w:t xml:space="preserve">Payer access and speed to therapy.</w:t>
      </w:r>
    </w:p>
    <w:p>
      <w:pPr>
        <w:pStyle w:val="Compact"/>
        <w:numPr>
          <w:ilvl w:val="0"/>
          <w:numId w:val="1011"/>
        </w:numPr>
      </w:pPr>
      <w:r>
        <w:t xml:space="preserve">Vertex’s nephrology field force and patient-support infrastructure.</w:t>
      </w:r>
    </w:p>
    <w:p>
      <w:pPr>
        <w:pStyle w:val="Compact"/>
        <w:numPr>
          <w:ilvl w:val="0"/>
          <w:numId w:val="1011"/>
        </w:numPr>
      </w:pPr>
      <w:r>
        <w:t xml:space="preserve">Potential expansion into primary membranous nephropathy and generalized myasthenia gravis.</w:t>
      </w:r>
    </w:p>
    <w:p>
      <w:pPr>
        <w:pStyle w:val="FirstParagraph"/>
      </w:pPr>
      <w:r>
        <w:t xml:space="preserve">This report is unlikely to change the regulatory probability materially, but management’s response to TRUTAKNA’s approval will help investors assess povetacicept’s commercial ceiling.</w:t>
      </w:r>
    </w:p>
    <w:p>
      <w:r>
        <w:pict>
          <v:rect style="width:0;height:1.5pt" o:hralign="center" o:hrstd="t" o:hr="t"/>
        </w:pict>
      </w:r>
    </w:p>
    <w:bookmarkEnd w:id="34"/>
    <w:bookmarkStart w:id="35" w:name="X8aa39fd179419a22415e48b6261afedcc1b8849"/>
    <w:p>
      <w:pPr>
        <w:pStyle w:val="Heading2"/>
      </w:pPr>
      <w:r>
        <w:t xml:space="preserve">7. Pipeline updates that could affect the second half</w:t>
      </w:r>
    </w:p>
    <w:p>
      <w:pPr>
        <w:pStyle w:val="FirstParagraph"/>
      </w:pPr>
      <w:r>
        <w:t xml:space="preserve">Investors should listen for changes to the timing of these programs: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Program</w:t>
            </w:r>
          </w:p>
        </w:tc>
        <w:tc>
          <w:tcPr/>
          <w:p>
            <w:pPr>
              <w:pStyle w:val="Compact"/>
            </w:pPr>
            <w:r>
              <w:t xml:space="preserve">Expected milestone</w:t>
            </w:r>
          </w:p>
        </w:tc>
      </w:tr>
      <w:tr>
        <w:tc>
          <w:tcPr/>
          <w:p>
            <w:pPr>
              <w:pStyle w:val="Compact"/>
            </w:pPr>
            <w:r>
              <w:rPr>
                <w:b/>
                <w:bCs/>
              </w:rPr>
              <w:t xml:space="preserve">Inaxaplin — AMPLIFIED</w:t>
            </w:r>
          </w:p>
        </w:tc>
        <w:tc>
          <w:tcPr/>
          <w:p>
            <w:pPr>
              <w:pStyle w:val="Compact"/>
            </w:pPr>
            <w:r>
              <w:t xml:space="preserve">Phase 2 data in broader APOL1-mediated kidney-disease populations in H2 2026</w:t>
            </w:r>
          </w:p>
        </w:tc>
      </w:tr>
      <w:tr>
        <w:tc>
          <w:tcPr/>
          <w:p>
            <w:pPr>
              <w:pStyle w:val="Compact"/>
            </w:pPr>
            <w:r>
              <w:rPr>
                <w:b/>
                <w:bCs/>
              </w:rPr>
              <w:t xml:space="preserve">Inaxaplin — AMPLITUDE</w:t>
            </w:r>
          </w:p>
        </w:tc>
        <w:tc>
          <w:tcPr/>
          <w:p>
            <w:pPr>
              <w:pStyle w:val="Compact"/>
            </w:pPr>
            <w:r>
              <w:t xml:space="preserve">Full enrollment in H2 2026; interim data expected in early 2027</w:t>
            </w:r>
          </w:p>
        </w:tc>
      </w:tr>
      <w:tr>
        <w:tc>
          <w:tcPr/>
          <w:p>
            <w:pPr>
              <w:pStyle w:val="Compact"/>
            </w:pPr>
            <w:r>
              <w:rPr>
                <w:b/>
                <w:bCs/>
              </w:rPr>
              <w:t xml:space="preserve">VX-828</w:t>
            </w:r>
          </w:p>
        </w:tc>
        <w:tc>
          <w:tcPr/>
          <w:p>
            <w:pPr>
              <w:pStyle w:val="Compact"/>
            </w:pPr>
            <w:r>
              <w:t xml:space="preserve">Early CF patient safety and sweat-chloride data in H2 2026</w:t>
            </w:r>
          </w:p>
        </w:tc>
      </w:tr>
      <w:tr>
        <w:tc>
          <w:tcPr/>
          <w:p>
            <w:pPr>
              <w:pStyle w:val="Compact"/>
            </w:pPr>
            <w:r>
              <w:rPr>
                <w:b/>
                <w:bCs/>
              </w:rPr>
              <w:t xml:space="preserve">Zimislecel</w:t>
            </w:r>
          </w:p>
        </w:tc>
        <w:tc>
          <w:tcPr/>
          <w:p>
            <w:pPr>
              <w:pStyle w:val="Compact"/>
            </w:pPr>
            <w:r>
              <w:t xml:space="preserve">Updated study-completion and filing timelines following resumed dosing</w:t>
            </w:r>
          </w:p>
        </w:tc>
      </w:tr>
      <w:tr>
        <w:tc>
          <w:tcPr/>
          <w:p>
            <w:pPr>
              <w:pStyle w:val="Compact"/>
            </w:pPr>
            <w:r>
              <w:rPr>
                <w:b/>
                <w:bCs/>
              </w:rPr>
              <w:t xml:space="preserve">VX-670</w:t>
            </w:r>
          </w:p>
        </w:tc>
        <w:tc>
          <w:tcPr/>
          <w:p>
            <w:pPr>
              <w:pStyle w:val="Compact"/>
            </w:pPr>
            <w:r>
              <w:t xml:space="preserve">Phase 1/2 myotonic dystrophy data in H2 2026</w:t>
            </w:r>
          </w:p>
        </w:tc>
      </w:tr>
      <w:tr>
        <w:tc>
          <w:tcPr/>
          <w:p>
            <w:pPr>
              <w:pStyle w:val="Compact"/>
            </w:pPr>
            <w:r>
              <w:rPr>
                <w:b/>
                <w:bCs/>
              </w:rPr>
              <w:t xml:space="preserve">VX-407</w:t>
            </w:r>
          </w:p>
        </w:tc>
        <w:tc>
          <w:tcPr/>
          <w:p>
            <w:pPr>
              <w:pStyle w:val="Compact"/>
            </w:pPr>
            <w:r>
              <w:t xml:space="preserve">Phase 2 ADPKD enrollment progress</w:t>
            </w:r>
          </w:p>
        </w:tc>
      </w:tr>
      <w:tr>
        <w:tc>
          <w:tcPr/>
          <w:p>
            <w:pPr>
              <w:pStyle w:val="Compact"/>
            </w:pPr>
            <w:r>
              <w:rPr>
                <w:b/>
                <w:bCs/>
              </w:rPr>
              <w:t xml:space="preserve">Suzetrigine in DPN</w:t>
            </w:r>
          </w:p>
        </w:tc>
        <w:tc>
          <w:tcPr/>
          <w:p>
            <w:pPr>
              <w:pStyle w:val="Compact"/>
            </w:pPr>
            <w:r>
              <w:t xml:space="preserve">Phase 3 enrollment completion targeted by year-end</w:t>
            </w:r>
          </w:p>
        </w:tc>
      </w:tr>
    </w:tbl>
    <w:p>
      <w:pPr>
        <w:pStyle w:val="BodyText"/>
      </w:pPr>
      <w:r>
        <w:t xml:space="preserve">Vertex’s Q1 update maintained these general timelines. Any delays—particularly for zimislecel, AMPLIFIED or VX-828—could offset an otherwise solid commercial quarter. (</w:t>
      </w:r>
      <w:hyperlink r:id="rId12">
        <w:r>
          <w:rPr>
            <w:rStyle w:val="Hyperlink"/>
          </w:rPr>
          <w:t xml:space="preserve">investors.vrtx.com</w:t>
        </w:r>
      </w:hyperlink>
      <w:r>
        <w:t xml:space="preserve">)</w:t>
      </w:r>
    </w:p>
    <w:p>
      <w:r>
        <w:pict>
          <v:rect style="width:0;height:1.5pt" o:hralign="center" o:hrstd="t" o:hr="t"/>
        </w:pict>
      </w:r>
    </w:p>
    <w:bookmarkEnd w:id="35"/>
    <w:bookmarkStart w:id="39" w:name="potential-stock-reaction-framework"/>
    <w:p>
      <w:pPr>
        <w:pStyle w:val="Heading2"/>
      </w:pPr>
      <w:r>
        <w:t xml:space="preserve">Potential stock-reaction framework</w:t>
      </w:r>
    </w:p>
    <w:bookmarkStart w:id="36" w:name="bull-case"/>
    <w:p>
      <w:pPr>
        <w:pStyle w:val="Heading3"/>
      </w:pPr>
      <w:r>
        <w:t xml:space="preserve">Bull case</w:t>
      </w:r>
    </w:p>
    <w:p>
      <w:pPr>
        <w:pStyle w:val="Compact"/>
        <w:numPr>
          <w:ilvl w:val="0"/>
          <w:numId w:val="1012"/>
        </w:numPr>
      </w:pPr>
      <w:r>
        <w:t xml:space="preserve">Revenue above roughly $3.25 billion.</w:t>
      </w:r>
    </w:p>
    <w:p>
      <w:pPr>
        <w:pStyle w:val="Compact"/>
        <w:numPr>
          <w:ilvl w:val="0"/>
          <w:numId w:val="1012"/>
        </w:numPr>
      </w:pPr>
      <w:r>
        <w:t xml:space="preserve">EPS comfortably above consensus.</w:t>
      </w:r>
    </w:p>
    <w:p>
      <w:pPr>
        <w:pStyle w:val="Compact"/>
        <w:numPr>
          <w:ilvl w:val="0"/>
          <w:numId w:val="1012"/>
        </w:numPr>
      </w:pPr>
      <w:r>
        <w:t xml:space="preserve">Strong total CF growth rather than simple TRIKAFTA-to-ALYFTREK substitution.</w:t>
      </w:r>
    </w:p>
    <w:p>
      <w:pPr>
        <w:pStyle w:val="Compact"/>
        <w:numPr>
          <w:ilvl w:val="0"/>
          <w:numId w:val="1012"/>
        </w:numPr>
      </w:pPr>
      <w:r>
        <w:t xml:space="preserve">Clear sequential acceleration in both JOURNAVX and CASGEVY.</w:t>
      </w:r>
    </w:p>
    <w:p>
      <w:pPr>
        <w:pStyle w:val="Compact"/>
        <w:numPr>
          <w:ilvl w:val="0"/>
          <w:numId w:val="1012"/>
        </w:numPr>
      </w:pPr>
      <w:r>
        <w:t xml:space="preserve">Revenue guidance raised or narrowed toward the upper end.</w:t>
      </w:r>
    </w:p>
    <w:p>
      <w:pPr>
        <w:pStyle w:val="Compact"/>
        <w:numPr>
          <w:ilvl w:val="0"/>
          <w:numId w:val="1012"/>
        </w:numPr>
      </w:pPr>
      <w:r>
        <w:t xml:space="preserve">Non-CF sales target increased.</w:t>
      </w:r>
    </w:p>
    <w:p>
      <w:pPr>
        <w:pStyle w:val="Compact"/>
        <w:numPr>
          <w:ilvl w:val="0"/>
          <w:numId w:val="1012"/>
        </w:numPr>
      </w:pPr>
      <w:r>
        <w:t xml:space="preserve">No meaningful expense creep.</w:t>
      </w:r>
    </w:p>
    <w:p>
      <w:pPr>
        <w:pStyle w:val="Compact"/>
        <w:numPr>
          <w:ilvl w:val="0"/>
          <w:numId w:val="1012"/>
        </w:numPr>
      </w:pPr>
      <w:r>
        <w:t xml:space="preserve">Credible detail on Crinetics financing and PALSONIFY’s launch.</w:t>
      </w:r>
    </w:p>
    <w:bookmarkEnd w:id="36"/>
    <w:bookmarkStart w:id="37" w:name="base-case"/>
    <w:p>
      <w:pPr>
        <w:pStyle w:val="Heading3"/>
      </w:pPr>
      <w:r>
        <w:t xml:space="preserve">Base case</w:t>
      </w:r>
    </w:p>
    <w:p>
      <w:pPr>
        <w:pStyle w:val="Compact"/>
        <w:numPr>
          <w:ilvl w:val="0"/>
          <w:numId w:val="1013"/>
        </w:numPr>
      </w:pPr>
      <w:r>
        <w:t xml:space="preserve">Revenue and EPS near consensus.</w:t>
      </w:r>
    </w:p>
    <w:p>
      <w:pPr>
        <w:pStyle w:val="Compact"/>
        <w:numPr>
          <w:ilvl w:val="0"/>
          <w:numId w:val="1013"/>
        </w:numPr>
      </w:pPr>
      <w:r>
        <w:t xml:space="preserve">CF remains dependable.</w:t>
      </w:r>
    </w:p>
    <w:p>
      <w:pPr>
        <w:pStyle w:val="Compact"/>
        <w:numPr>
          <w:ilvl w:val="0"/>
          <w:numId w:val="1013"/>
        </w:numPr>
      </w:pPr>
      <w:r>
        <w:t xml:space="preserve">JOURNAVX and CASGEVY improve sequentially but do not materially exceed expectations.</w:t>
      </w:r>
    </w:p>
    <w:p>
      <w:pPr>
        <w:pStyle w:val="Compact"/>
        <w:numPr>
          <w:ilvl w:val="0"/>
          <w:numId w:val="1013"/>
        </w:numPr>
      </w:pPr>
      <w:r>
        <w:t xml:space="preserve">All guidance reiterated.</w:t>
      </w:r>
    </w:p>
    <w:p>
      <w:pPr>
        <w:pStyle w:val="Compact"/>
        <w:numPr>
          <w:ilvl w:val="0"/>
          <w:numId w:val="1013"/>
        </w:numPr>
      </w:pPr>
      <w:r>
        <w:t xml:space="preserve">Pipeline timelines maintained.</w:t>
      </w:r>
    </w:p>
    <w:p>
      <w:pPr>
        <w:pStyle w:val="Compact"/>
        <w:numPr>
          <w:ilvl w:val="0"/>
          <w:numId w:val="1013"/>
        </w:numPr>
      </w:pPr>
      <w:r>
        <w:t xml:space="preserve">Management largely repeats its prior Crinetics rationale.</w:t>
      </w:r>
    </w:p>
    <w:p>
      <w:pPr>
        <w:pStyle w:val="FirstParagraph"/>
      </w:pPr>
      <w:r>
        <w:t xml:space="preserve">This would be operationally satisfactory but may produce a muted stock response.</w:t>
      </w:r>
    </w:p>
    <w:bookmarkEnd w:id="37"/>
    <w:bookmarkStart w:id="38" w:name="bear-case"/>
    <w:p>
      <w:pPr>
        <w:pStyle w:val="Heading3"/>
      </w:pPr>
      <w:r>
        <w:t xml:space="preserve">Bear case</w:t>
      </w:r>
    </w:p>
    <w:p>
      <w:pPr>
        <w:pStyle w:val="Compact"/>
        <w:numPr>
          <w:ilvl w:val="0"/>
          <w:numId w:val="1014"/>
        </w:numPr>
      </w:pPr>
      <w:r>
        <w:t xml:space="preserve">Revenue misses because CF growth slows or new launches disappoint.</w:t>
      </w:r>
    </w:p>
    <w:p>
      <w:pPr>
        <w:pStyle w:val="Compact"/>
        <w:numPr>
          <w:ilvl w:val="0"/>
          <w:numId w:val="1014"/>
        </w:numPr>
      </w:pPr>
      <w:r>
        <w:t xml:space="preserve">JOURNAVX prescriptions rise but revenue conversion remains weak.</w:t>
      </w:r>
    </w:p>
    <w:p>
      <w:pPr>
        <w:pStyle w:val="Compact"/>
        <w:numPr>
          <w:ilvl w:val="0"/>
          <w:numId w:val="1014"/>
        </w:numPr>
      </w:pPr>
      <w:r>
        <w:t xml:space="preserve">CASGEVY infusions remain lumpy without stronger forward visibility.</w:t>
      </w:r>
    </w:p>
    <w:p>
      <w:pPr>
        <w:pStyle w:val="Compact"/>
        <w:numPr>
          <w:ilvl w:val="0"/>
          <w:numId w:val="1014"/>
        </w:numPr>
      </w:pPr>
      <w:r>
        <w:t xml:space="preserve">Guidance is maintained only through an aggressive second-half assumption.</w:t>
      </w:r>
    </w:p>
    <w:p>
      <w:pPr>
        <w:pStyle w:val="Compact"/>
        <w:numPr>
          <w:ilvl w:val="0"/>
          <w:numId w:val="1014"/>
        </w:numPr>
      </w:pPr>
      <w:r>
        <w:t xml:space="preserve">Operating expenses increase.</w:t>
      </w:r>
    </w:p>
    <w:p>
      <w:pPr>
        <w:pStyle w:val="Compact"/>
        <w:numPr>
          <w:ilvl w:val="0"/>
          <w:numId w:val="1014"/>
        </w:numPr>
      </w:pPr>
      <w:r>
        <w:t xml:space="preserve">Pipeline timelines slip.</w:t>
      </w:r>
    </w:p>
    <w:p>
      <w:pPr>
        <w:pStyle w:val="Compact"/>
        <w:numPr>
          <w:ilvl w:val="0"/>
          <w:numId w:val="1014"/>
        </w:numPr>
      </w:pPr>
      <w:r>
        <w:t xml:space="preserve">Management provides limited new evidence supporting the Crinetics valuation.</w:t>
      </w:r>
    </w:p>
    <w:p>
      <w:r>
        <w:pict>
          <v:rect style="width:0;height:1.5pt" o:hralign="center" o:hrstd="t" o:hr="t"/>
        </w:pict>
      </w:r>
    </w:p>
    <w:bookmarkEnd w:id="38"/>
    <w:bookmarkEnd w:id="39"/>
    <w:bookmarkStart w:id="40" w:name="bottom-line"/>
    <w:p>
      <w:pPr>
        <w:pStyle w:val="Heading2"/>
      </w:pPr>
      <w:r>
        <w:t xml:space="preserve">Bottom line</w:t>
      </w:r>
    </w:p>
    <w:p>
      <w:pPr>
        <w:pStyle w:val="FirstParagraph"/>
      </w:pPr>
      <w:r>
        <w:rPr>
          <w:b/>
          <w:bCs/>
        </w:rPr>
        <w:t xml:space="preserve">This is more of an execution-and-outlook quarter than a pure EPS event.</w:t>
      </w:r>
      <w:r>
        <w:t xml:space="preserve"> </w:t>
      </w:r>
      <w:r>
        <w:t xml:space="preserve">The CF franchise should continue to provide a stable base, but the investment debate has shifted to whether Vertex can turn JOURNAVX, CASGEVY, povetacicept and eventually the Crinetics portfolio into meaningful growth pillars.</w:t>
      </w:r>
    </w:p>
    <w:p>
      <w:pPr>
        <w:pStyle w:val="BodyText"/>
      </w:pPr>
      <w:r>
        <w:t xml:space="preserve">The cleanest positive setup would be:</w:t>
      </w:r>
    </w:p>
    <w:p>
      <w:pPr>
        <w:pStyle w:val="Compact"/>
        <w:numPr>
          <w:ilvl w:val="0"/>
          <w:numId w:val="1015"/>
        </w:numPr>
      </w:pPr>
      <w:r>
        <w:t xml:space="preserve">Solid total CF growth.</w:t>
      </w:r>
    </w:p>
    <w:p>
      <w:pPr>
        <w:pStyle w:val="Compact"/>
        <w:numPr>
          <w:ilvl w:val="0"/>
          <w:numId w:val="1015"/>
        </w:numPr>
      </w:pPr>
      <w:r>
        <w:t xml:space="preserve">A visible step-up in JOURNAVX revenue conversion.</w:t>
      </w:r>
    </w:p>
    <w:p>
      <w:pPr>
        <w:pStyle w:val="Compact"/>
        <w:numPr>
          <w:ilvl w:val="0"/>
          <w:numId w:val="1015"/>
        </w:numPr>
      </w:pPr>
      <w:r>
        <w:t xml:space="preserve">More CASGEVY infusions and a larger patient funnel.</w:t>
      </w:r>
    </w:p>
    <w:p>
      <w:pPr>
        <w:pStyle w:val="Compact"/>
        <w:numPr>
          <w:ilvl w:val="0"/>
          <w:numId w:val="1015"/>
        </w:numPr>
      </w:pPr>
      <w:r>
        <w:t xml:space="preserve">Increased confidence—or an increase—in the $500 million-plus non-CF target.</w:t>
      </w:r>
    </w:p>
    <w:p>
      <w:pPr>
        <w:pStyle w:val="Compact"/>
        <w:numPr>
          <w:ilvl w:val="0"/>
          <w:numId w:val="1015"/>
        </w:numPr>
      </w:pPr>
      <w:r>
        <w:t xml:space="preserve">A disciplined financial explanation for the Crinetics acquisition.</w:t>
      </w:r>
    </w:p>
    <w:p>
      <w:pPr>
        <w:pStyle w:val="FirstParagraph"/>
      </w:pPr>
      <w:r>
        <w:t xml:space="preserve">Absent those elements, even a conventional revenue and EPS beat may be viewed as backward-looking rather than evidence that Vertex’s diversification strategy is working.</w:t>
      </w:r>
    </w:p>
    <w:bookmarkEnd w:id="40"/>
    <w:bookmarkEnd w:id="4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9" Target="https://investors.vrtx.com/news-releases/news-release-details/vertex-acquire-crinetics-pharmaceuticals?utm_source=openai" TargetMode="External" /><Relationship Type="http://schemas.openxmlformats.org/officeDocument/2006/relationships/hyperlink" Id="rId9" Target="https://investors.vrtx.com/news-releases/news-release-details/vertex-announce-second-quarter-2026-financial-results-august-3rd?utm_source=openai" TargetMode="External" /><Relationship Type="http://schemas.openxmlformats.org/officeDocument/2006/relationships/hyperlink" Id="rId32" Target="https://investors.vrtx.com/news-releases/news-release-details/vertex-announces-us-fda-acceptance-biologics-license-application?utm_source=openai" TargetMode="External" /><Relationship Type="http://schemas.openxmlformats.org/officeDocument/2006/relationships/hyperlink" Id="rId22" Target="https://investors.vrtx.com/news-releases/news-release-details/vertex-announces-us-fda-approval-expanded-use-casgevyr-treatment?utm_source=openai" TargetMode="External" /><Relationship Type="http://schemas.openxmlformats.org/officeDocument/2006/relationships/hyperlink" Id="rId12" Target="https://investors.vrtx.com/news-releases/news-release-details/vertex-reports-first-quarter-2026-financial-results?utm_source=openai" TargetMode="External" /><Relationship Type="http://schemas.openxmlformats.org/officeDocument/2006/relationships/hyperlink" Id="rId33" Target="https://www.sec.gov/Archives/edgar/data/1831828/000119312526297211/vera-20260707.htm?utm_source=openai" TargetMode="External" /><Relationship Type="http://schemas.openxmlformats.org/officeDocument/2006/relationships/hyperlink" Id="rId25" Target="https://www.sec.gov/Archives/edgar/data/875320/000087532026000171/ex-991_q12026.htm?utm_source=openai" TargetMode="External" /><Relationship Type="http://schemas.openxmlformats.org/officeDocument/2006/relationships/hyperlink" Id="rId11" Target="https://www.zacks.com/stock/news/2961102/vertex-pharmaceuticals-vrtx-earnings-expected-to-grow-should-you-buy?utm_source=openai" TargetMode="External" /><Relationship Type="http://schemas.openxmlformats.org/officeDocument/2006/relationships/hyperlink" Id="rId14" Target="https://www.zacks.com/stock/news/2961231/vertex-gears-up-to-report-q2-earnings-what-can-investors-expect?utm_source=openai" TargetMode="External" /></Relationships>
</file>

<file path=word/_rels/footnotes.xml.rels><?xml version="1.0" encoding="UTF-8"?><Relationships xmlns="http://schemas.openxmlformats.org/package/2006/relationships"><Relationship Type="http://schemas.openxmlformats.org/officeDocument/2006/relationships/hyperlink" Id="rId29" Target="https://investors.vrtx.com/news-releases/news-release-details/vertex-acquire-crinetics-pharmaceuticals?utm_source=openai" TargetMode="External" /><Relationship Type="http://schemas.openxmlformats.org/officeDocument/2006/relationships/hyperlink" Id="rId9" Target="https://investors.vrtx.com/news-releases/news-release-details/vertex-announce-second-quarter-2026-financial-results-august-3rd?utm_source=openai" TargetMode="External" /><Relationship Type="http://schemas.openxmlformats.org/officeDocument/2006/relationships/hyperlink" Id="rId32" Target="https://investors.vrtx.com/news-releases/news-release-details/vertex-announces-us-fda-acceptance-biologics-license-application?utm_source=openai" TargetMode="External" /><Relationship Type="http://schemas.openxmlformats.org/officeDocument/2006/relationships/hyperlink" Id="rId22" Target="https://investors.vrtx.com/news-releases/news-release-details/vertex-announces-us-fda-approval-expanded-use-casgevyr-treatment?utm_source=openai" TargetMode="External" /><Relationship Type="http://schemas.openxmlformats.org/officeDocument/2006/relationships/hyperlink" Id="rId12" Target="https://investors.vrtx.com/news-releases/news-release-details/vertex-reports-first-quarter-2026-financial-results?utm_source=openai" TargetMode="External" /><Relationship Type="http://schemas.openxmlformats.org/officeDocument/2006/relationships/hyperlink" Id="rId33" Target="https://www.sec.gov/Archives/edgar/data/1831828/000119312526297211/vera-20260707.htm?utm_source=openai" TargetMode="External" /><Relationship Type="http://schemas.openxmlformats.org/officeDocument/2006/relationships/hyperlink" Id="rId25" Target="https://www.sec.gov/Archives/edgar/data/875320/000087532026000171/ex-991_q12026.htm?utm_source=openai" TargetMode="External" /><Relationship Type="http://schemas.openxmlformats.org/officeDocument/2006/relationships/hyperlink" Id="rId11" Target="https://www.zacks.com/stock/news/2961102/vertex-pharmaceuticals-vrtx-earnings-expected-to-grow-should-you-buy?utm_source=openai" TargetMode="External" /><Relationship Type="http://schemas.openxmlformats.org/officeDocument/2006/relationships/hyperlink" Id="rId14" Target="https://www.zacks.com/stock/news/2961231/vertex-gears-up-to-report-q2-earnings-what-can-investors-expect?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2026-08-03T00:08:39Z</dcterms:created>
  <dcterms:modified xsi:type="dcterms:W3CDTF">2026-08-03T00:08:39Z</dcterms:modified>
</cp:coreProperties>
</file>

<file path=docProps/custom.xml><?xml version="1.0" encoding="utf-8"?>
<Properties xmlns="http://schemas.openxmlformats.org/officeDocument/2006/custom-properties" xmlns:vt="http://schemas.openxmlformats.org/officeDocument/2006/docPropsVTypes"/>
</file>