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c17d1e04614ac1a3c637426469865f0d8f3ec35"/>
    <w:p>
      <w:pPr>
        <w:pStyle w:val="Heading1"/>
      </w:pPr>
      <w:r>
        <w:t xml:space="preserve">Vertex Pharmaceuticals (VRTX) — 2Q26 Earnings Preview</w:t>
      </w:r>
    </w:p>
    <w:p>
      <w:pPr>
        <w:pStyle w:val="FirstParagraph"/>
      </w:pPr>
      <w:r>
        <w:rPr>
          <w:b/>
          <w:bCs/>
        </w:rPr>
        <w:t xml:space="preserve">Event:</w:t>
      </w:r>
      <w:r>
        <w:t xml:space="preserve"> </w:t>
      </w:r>
      <w:r>
        <w:t xml:space="preserve">Monday, August 3, 2026, after market close; earnings call at 4:30 p.m. ET.</w:t>
      </w:r>
      <w:r>
        <w:br/>
      </w:r>
      <w:r>
        <w:rPr>
          <w:b/>
          <w:bCs/>
        </w:rPr>
        <w:t xml:space="preserve">Core setup:</w:t>
      </w:r>
      <w:r>
        <w:t xml:space="preserve"> </w:t>
      </w:r>
      <w:r>
        <w:t xml:space="preserve">Vertex enters 2Q with a durable CF franchise, accelerating but still-small non-CF launches, several meaningful second-half clinical/regulatory catalysts, and a newly announced $10 billion acquisition of Crinetics. The main investor debate is less about whether Vertex can deliver quarterly revenue growth and more about whether the company can demonstrate enough commercial traction outside CF to support its 2026 guidance and longer-term diversification thesis.</w:t>
      </w:r>
    </w:p>
    <w:bookmarkStart w:id="10" w:name="what-matters-most"/>
    <w:p>
      <w:pPr>
        <w:pStyle w:val="Heading2"/>
      </w:pPr>
      <w:r>
        <w:t xml:space="preserve">What matters most</w:t>
      </w:r>
    </w:p>
    <w:bookmarkStart w:id="9" w:name="Xe88ac8e18bce8ed6d3d990768cfc9c98caaea6d"/>
    <w:p>
      <w:pPr>
        <w:pStyle w:val="Heading3"/>
      </w:pPr>
      <w:r>
        <w:t xml:space="preserve">1. Can Vertex sustain its FY26 revenue guide?</w:t>
      </w:r>
    </w:p>
    <w:p>
      <w:pPr>
        <w:pStyle w:val="FirstParagraph"/>
      </w:pPr>
      <w:r>
        <w:t xml:space="preserve">Vertex reiterated FY26 revenue guidance of</w:t>
      </w:r>
      <w:r>
        <w:t xml:space="preserve"> </w:t>
      </w:r>
      <m:oMath>
        <m:r>
          <m:t>12.95</m:t>
        </m:r>
        <m:r>
          <m:rPr>
            <m:sty m:val="p"/>
          </m:rPr>
          <m:t>–</m:t>
        </m:r>
      </m:oMath>
      <w:r>
        <w:rPr>
          <w:b/>
          <w:bCs/>
        </w:rPr>
        <w:t xml:space="preserve">13.10 billion</w:t>
      </w:r>
      <w:r>
        <w:t xml:space="preserve"> </w:t>
      </w:r>
      <w:r>
        <w:t xml:space="preserve">after 1Q. With 1Q revenue of</w:t>
      </w:r>
      <w:r>
        <w:t xml:space="preserve"> </w:t>
      </w:r>
      <m:oMath>
        <m:r>
          <m:t>2.99</m:t>
        </m:r>
        <m:r>
          <m:t>b</m:t>
        </m:r>
        <m:r>
          <m:t>i</m:t>
        </m:r>
        <m:r>
          <m:t>l</m:t>
        </m:r>
        <m:r>
          <m:t>l</m:t>
        </m:r>
        <m:r>
          <m:t>i</m:t>
        </m:r>
        <m:r>
          <m:t>o</m:t>
        </m:r>
        <m:r>
          <m:t>n</m:t>
        </m:r>
        <m:r>
          <m:rPr>
            <m:sty m:val="p"/>
          </m:rPr>
          <m:t>*</m:t>
        </m:r>
        <m:r>
          <m:rPr>
            <m:sty m:val="p"/>
          </m:rPr>
          <m:t>*</m:t>
        </m:r>
        <m:r>
          <m:rPr>
            <m:sty m:val="p"/>
          </m:rPr>
          <m:t>,</m:t>
        </m:r>
        <m:r>
          <m:t>t</m:t>
        </m:r>
        <m:r>
          <m:t>h</m:t>
        </m:r>
        <m:r>
          <m:t>e</m:t>
        </m:r>
        <m:r>
          <m:t>c</m:t>
        </m:r>
        <m:r>
          <m:t>o</m:t>
        </m:r>
        <m:r>
          <m:t>m</m:t>
        </m:r>
        <m:r>
          <m:t>p</m:t>
        </m:r>
        <m:r>
          <m:t>a</m:t>
        </m:r>
        <m:r>
          <m:t>n</m:t>
        </m:r>
        <m:r>
          <m:t>y</m:t>
        </m:r>
        <m:r>
          <m:t>n</m:t>
        </m:r>
        <m:r>
          <m:t>e</m:t>
        </m:r>
        <m:r>
          <m:t>e</m:t>
        </m:r>
        <m:r>
          <m:t>d</m:t>
        </m:r>
        <m:r>
          <m:t>s</m:t>
        </m:r>
        <m:r>
          <m:t>t</m:t>
        </m:r>
        <m:r>
          <m:t>o</m:t>
        </m:r>
        <m:r>
          <m:t>a</m:t>
        </m:r>
        <m:r>
          <m:t>v</m:t>
        </m:r>
        <m:r>
          <m:t>e</m:t>
        </m:r>
        <m:r>
          <m:t>r</m:t>
        </m:r>
        <m:r>
          <m:t>a</m:t>
        </m:r>
        <m:r>
          <m:t>g</m:t>
        </m:r>
        <m:r>
          <m:t>e</m:t>
        </m:r>
        <m:r>
          <m:t>r</m:t>
        </m:r>
        <m:r>
          <m:t>o</m:t>
        </m:r>
        <m:r>
          <m:t>u</m:t>
        </m:r>
        <m:r>
          <m:t>g</m:t>
        </m:r>
        <m:r>
          <m:t>h</m:t>
        </m:r>
        <m:r>
          <m:t>l</m:t>
        </m:r>
        <m:r>
          <m:t>y</m:t>
        </m:r>
        <m:r>
          <m:rPr>
            <m:sty m:val="p"/>
          </m:rPr>
          <m:t>*</m:t>
        </m:r>
        <m:r>
          <m:rPr>
            <m:sty m:val="p"/>
          </m:rPr>
          <m:t>*</m:t>
        </m:r>
      </m:oMath>
      <w:r>
        <w:rPr>
          <w:b/>
          <w:bCs/>
        </w:rPr>
        <w:t xml:space="preserve">3.32–$3.37 billion per quarter</w:t>
      </w:r>
      <w:r>
        <w:t xml:space="preserve"> </w:t>
      </w:r>
      <w:r>
        <w:t xml:space="preserve">over the remaining three quarters to reach that range.</w:t>
      </w:r>
    </w:p>
    <w:p>
      <w:pPr>
        <w:pStyle w:val="BodyText"/>
      </w:pPr>
      <w:r>
        <w:t xml:space="preserve">That makes the 2Q print and commentary important for two reasons:</w:t>
      </w:r>
    </w:p>
    <w:p>
      <w:pPr>
        <w:pStyle w:val="Compact"/>
        <w:numPr>
          <w:ilvl w:val="0"/>
          <w:numId w:val="1001"/>
        </w:numPr>
      </w:pPr>
      <w:r>
        <w:rPr>
          <w:b/>
          <w:bCs/>
        </w:rPr>
        <w:t xml:space="preserve">CF must continue to grow despite product switching.</w:t>
      </w:r>
      <w:r>
        <w:t xml:space="preserve"> </w:t>
      </w:r>
      <w:r>
        <w:t xml:space="preserve">ALYFTREK is replacing portions of the older TRIKAFTA/KAFTRIO base, so investors should focus on total CF revenue—not simply growth in ALYFTREK alone.</w:t>
      </w:r>
    </w:p>
    <w:p>
      <w:pPr>
        <w:pStyle w:val="Compact"/>
        <w:numPr>
          <w:ilvl w:val="0"/>
          <w:numId w:val="1001"/>
        </w:numPr>
      </w:pPr>
      <w:r>
        <w:rPr>
          <w:b/>
          <w:bCs/>
        </w:rPr>
        <w:t xml:space="preserve">Non-CF products need a visible acceleration.</w:t>
      </w:r>
      <w:r>
        <w:t xml:space="preserve"> </w:t>
      </w:r>
      <w:r>
        <w:t xml:space="preserve">Vertex’s FY26 guide calls for</w:t>
      </w:r>
      <w:r>
        <w:t xml:space="preserve"> </w:t>
      </w:r>
      <w:r>
        <w:rPr>
          <w:b/>
          <w:bCs/>
        </w:rPr>
        <w:t xml:space="preserve">at least</w:t>
      </w:r>
      <w:r>
        <w:rPr>
          <w:b/>
          <w:bCs/>
        </w:rPr>
        <w:t xml:space="preserve"> </w:t>
      </w:r>
      <m:oMath>
        <m:r>
          <m:t>500</m:t>
        </m:r>
        <m:r>
          <m:t>m</m:t>
        </m:r>
        <m:r>
          <m:t>i</m:t>
        </m:r>
        <m:r>
          <m:t>l</m:t>
        </m:r>
        <m:r>
          <m:t>l</m:t>
        </m:r>
        <m:r>
          <m:t>i</m:t>
        </m:r>
        <m:r>
          <m:t>o</m:t>
        </m:r>
        <m:r>
          <m:t>n</m:t>
        </m:r>
        <m:r>
          <m:rPr>
            <m:sty m:val="p"/>
          </m:rPr>
          <m:t>*</m:t>
        </m:r>
        <m:r>
          <m:rPr>
            <m:sty m:val="p"/>
          </m:rPr>
          <m:t>*</m:t>
        </m:r>
        <m:r>
          <m:t>o</m:t>
        </m:r>
        <m:r>
          <m:t>f</m:t>
        </m:r>
        <m:r>
          <m:t>n</m:t>
        </m:r>
        <m:r>
          <m:t>o</m:t>
        </m:r>
        <m:r>
          <m:t>n</m:t>
        </m:r>
        <m:r>
          <m:rPr>
            <m:sty m:val="p"/>
          </m:rPr>
          <m:t>−</m:t>
        </m:r>
        <m:r>
          <m:t>C</m:t>
        </m:r>
        <m:r>
          <m:t>F</m:t>
        </m:r>
        <m:r>
          <m:t>r</m:t>
        </m:r>
        <m:r>
          <m:t>e</m:t>
        </m:r>
        <m:r>
          <m:t>v</m:t>
        </m:r>
        <m:r>
          <m:t>e</m:t>
        </m:r>
        <m:r>
          <m:t>n</m:t>
        </m:r>
        <m:r>
          <m:t>u</m:t>
        </m:r>
        <m:r>
          <m:t>e</m:t>
        </m:r>
        <m:r>
          <m:rPr>
            <m:sty m:val="p"/>
          </m:rPr>
          <m:t>.</m:t>
        </m:r>
        <m:r>
          <m:t>I</m:t>
        </m:r>
        <m:r>
          <m:t>t</m:t>
        </m:r>
        <m:r>
          <m:t>g</m:t>
        </m:r>
        <m:r>
          <m:t>e</m:t>
        </m:r>
        <m:r>
          <m:t>n</m:t>
        </m:r>
        <m:r>
          <m:t>e</m:t>
        </m:r>
        <m:r>
          <m:t>r</m:t>
        </m:r>
        <m:r>
          <m:t>a</m:t>
        </m:r>
        <m:r>
          <m:t>t</m:t>
        </m:r>
        <m:r>
          <m:t>e</m:t>
        </m:r>
        <m:r>
          <m:t>d</m:t>
        </m:r>
        <m:r>
          <m:t>r</m:t>
        </m:r>
        <m:r>
          <m:t>o</m:t>
        </m:r>
        <m:r>
          <m:t>u</m:t>
        </m:r>
        <m:r>
          <m:t>g</m:t>
        </m:r>
        <m:r>
          <m:t>h</m:t>
        </m:r>
        <m:r>
          <m:t>l</m:t>
        </m:r>
        <m:r>
          <m:t>y</m:t>
        </m:r>
        <m:r>
          <m:rPr>
            <m:sty m:val="p"/>
          </m:rPr>
          <m:t>*</m:t>
        </m:r>
        <m:r>
          <m:rPr>
            <m:sty m:val="p"/>
          </m:rPr>
          <m:t>*</m:t>
        </m:r>
      </m:oMath>
      <w:r>
        <w:rPr>
          <w:b/>
          <w:bCs/>
        </w:rPr>
        <w:t xml:space="preserve">72 million</w:t>
      </w:r>
      <w:r>
        <w:t xml:space="preserve"> </w:t>
      </w:r>
      <w:r>
        <w:t xml:space="preserve">from CASGEVY and JOURNAVX in 1Q, implying an average of approximately</w:t>
      </w:r>
      <w:r>
        <w:t xml:space="preserve"> </w:t>
      </w:r>
      <w:r>
        <w:rPr>
          <w:b/>
          <w:bCs/>
        </w:rPr>
        <w:t xml:space="preserve">$143 million per quarter</w:t>
      </w:r>
      <w:r>
        <w:t xml:space="preserve"> </w:t>
      </w:r>
      <w:r>
        <w:t xml:space="preserve">across 2Q–4Q to reach the $500 million threshold. That is a substantial ramp and likely the most consequential near-term execution test.</w:t>
      </w:r>
    </w:p>
    <w:bookmarkEnd w:id="9"/>
    <w:bookmarkEnd w:id="10"/>
    <w:bookmarkStart w:id="11" w:name="commercial-scorecard"/>
    <w:p>
      <w:pPr>
        <w:pStyle w:val="Heading2"/>
      </w:pPr>
      <w:r>
        <w:t xml:space="preserve">Commercial scorecard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Franchise</w:t>
            </w:r>
          </w:p>
        </w:tc>
        <w:tc>
          <w:tcPr/>
          <w:p>
            <w:pPr>
              <w:pStyle w:val="Compact"/>
              <w:jc w:val="right"/>
            </w:pPr>
            <w:r>
              <w:t xml:space="preserve">1Q26 revenue</w:t>
            </w:r>
          </w:p>
        </w:tc>
        <w:tc>
          <w:tcPr/>
          <w:p>
            <w:pPr>
              <w:pStyle w:val="Compact"/>
            </w:pPr>
            <w:r>
              <w:t xml:space="preserve">What to watch in 2Q</w:t>
            </w:r>
          </w:p>
        </w:tc>
      </w:tr>
      <w:tr>
        <w:tc>
          <w:tcPr/>
          <w:p>
            <w:pPr>
              <w:pStyle w:val="Compact"/>
            </w:pPr>
            <w:r>
              <w:rPr>
                <w:b/>
                <w:bCs/>
              </w:rPr>
              <w:t xml:space="preserve">CF portfolio</w:t>
            </w:r>
          </w:p>
        </w:tc>
        <w:tc>
          <w:tcPr/>
          <w:p>
            <w:pPr>
              <w:pStyle w:val="Compact"/>
              <w:jc w:val="right"/>
            </w:pPr>
            <w:r>
              <w:rPr>
                <w:b/>
                <w:bCs/>
              </w:rPr>
              <w:t xml:space="preserve">$2.92B</w:t>
            </w:r>
          </w:p>
        </w:tc>
        <w:tc>
          <w:tcPr/>
          <w:p>
            <w:pPr>
              <w:pStyle w:val="Compact"/>
            </w:pPr>
            <w:r>
              <w:t xml:space="preserve">Underlying patient demand, ALYFTREK adoption, international reimbursement wins, younger-age launches, and total franchise growth</w:t>
            </w:r>
          </w:p>
        </w:tc>
      </w:tr>
      <w:tr>
        <w:tc>
          <w:tcPr/>
          <w:p>
            <w:pPr>
              <w:pStyle w:val="Compact"/>
            </w:pPr>
            <w:r>
              <w:rPr>
                <w:b/>
                <w:bCs/>
              </w:rPr>
              <w:t xml:space="preserve">ALYFTREK</w:t>
            </w:r>
          </w:p>
        </w:tc>
        <w:tc>
          <w:tcPr/>
          <w:p>
            <w:pPr>
              <w:pStyle w:val="Compact"/>
              <w:jc w:val="right"/>
            </w:pPr>
            <w:r>
              <w:rPr>
                <w:b/>
                <w:bCs/>
              </w:rPr>
              <w:t xml:space="preserve">$424M</w:t>
            </w:r>
          </w:p>
        </w:tc>
        <w:tc>
          <w:tcPr/>
          <w:p>
            <w:pPr>
              <w:pStyle w:val="Compact"/>
            </w:pPr>
            <w:r>
              <w:t xml:space="preserve">Conversion from TRIKAFTA/KAFTRIO, particularly outside the U.S., where switching friction appears lower</w:t>
            </w:r>
          </w:p>
        </w:tc>
      </w:tr>
      <w:tr>
        <w:tc>
          <w:tcPr/>
          <w:p>
            <w:pPr>
              <w:pStyle w:val="Compact"/>
            </w:pPr>
            <w:r>
              <w:rPr>
                <w:b/>
                <w:bCs/>
              </w:rPr>
              <w:t xml:space="preserve">CASGEVY</w:t>
            </w:r>
          </w:p>
        </w:tc>
        <w:tc>
          <w:tcPr/>
          <w:p>
            <w:pPr>
              <w:pStyle w:val="Compact"/>
              <w:jc w:val="right"/>
            </w:pPr>
            <w:r>
              <w:rPr>
                <w:b/>
                <w:bCs/>
              </w:rPr>
              <w:t xml:space="preserve">$43M</w:t>
            </w:r>
          </w:p>
        </w:tc>
        <w:tc>
          <w:tcPr/>
          <w:p>
            <w:pPr>
              <w:pStyle w:val="Compact"/>
            </w:pPr>
            <w:r>
              <w:t xml:space="preserve">Patient starts, treatment-center throughput, completed infusions, Germany access implementation, and revenue cadence</w:t>
            </w:r>
          </w:p>
        </w:tc>
      </w:tr>
      <w:tr>
        <w:tc>
          <w:tcPr/>
          <w:p>
            <w:pPr>
              <w:pStyle w:val="Compact"/>
            </w:pPr>
            <w:r>
              <w:rPr>
                <w:b/>
                <w:bCs/>
              </w:rPr>
              <w:t xml:space="preserve">JOURNAVX</w:t>
            </w:r>
          </w:p>
        </w:tc>
        <w:tc>
          <w:tcPr/>
          <w:p>
            <w:pPr>
              <w:pStyle w:val="Compact"/>
              <w:jc w:val="right"/>
            </w:pPr>
            <w:r>
              <w:rPr>
                <w:b/>
                <w:bCs/>
              </w:rPr>
              <w:t xml:space="preserve">$29M</w:t>
            </w:r>
          </w:p>
        </w:tc>
        <w:tc>
          <w:tcPr/>
          <w:p>
            <w:pPr>
              <w:pStyle w:val="Compact"/>
            </w:pPr>
            <w:r>
              <w:t xml:space="preserve">Prescription growth, payer access, gross-to-net improvement, hospital/retail adoption, and evidence of repeat prescriber behavior</w:t>
            </w:r>
          </w:p>
        </w:tc>
      </w:tr>
    </w:tbl>
    <w:bookmarkEnd w:id="11"/>
    <w:bookmarkStart w:id="12" w:name="X01fd661f35af8237d6820be94415ab32574a900"/>
    <w:p>
      <w:pPr>
        <w:pStyle w:val="Heading2"/>
      </w:pPr>
      <w:r>
        <w:t xml:space="preserve">CF: still the earnings engine, but mix is changing</w:t>
      </w:r>
    </w:p>
    <w:p>
      <w:pPr>
        <w:pStyle w:val="FirstParagraph"/>
      </w:pPr>
      <w:r>
        <w:t xml:space="preserve">CF remains Vertex’s central profit and cash-flow driver. In 1Q, the franchise generated</w:t>
      </w:r>
      <w:r>
        <w:t xml:space="preserve"> </w:t>
      </w:r>
      <w:r>
        <w:rPr>
          <w:b/>
          <w:bCs/>
        </w:rPr>
        <w:t xml:space="preserve">$2.92 billion</w:t>
      </w:r>
      <w:r>
        <w:t xml:space="preserve">, or nearly all product revenue. The key question is whether ALYFTREK can extend the franchise’s growth runway rather than merely shift revenue from TRIKAFTA/KAFTRIO.</w:t>
      </w:r>
    </w:p>
    <w:p>
      <w:pPr>
        <w:pStyle w:val="BodyText"/>
      </w:pPr>
      <w:r>
        <w:t xml:space="preserve">ALYFTREK generated $424 million in 1Q, while TRIKAFTA/KAFTRIO revenue was $2.35 billion. Management has highlighted that ALYFTREK’s once-daily dosing, broader mutation eligibility, and stronger sweat-chloride profile support continued conversion. At a June investor conference, Vertex noted that more than 70% of eligible patients in certain Nordic markets had switched, while U.S. switching has been slower because starting a new CF medicine involves additional monitoring.</w:t>
      </w:r>
    </w:p>
    <w:p>
      <w:pPr>
        <w:pStyle w:val="BodyText"/>
      </w:pPr>
      <w:r>
        <w:rPr>
          <w:b/>
          <w:bCs/>
        </w:rPr>
        <w:t xml:space="preserve">Investor read-through:</w:t>
      </w:r>
      <w:r>
        <w:br/>
      </w:r>
      <w:r>
        <w:t xml:space="preserve">A strong quarter would show that total CF revenue is growing through price, new patients, reimbursement expansion, and international uptake—not just mix migration. Any softness in total CF sales, slower-than-expected ALYFTREK adoption, or unfavorable gross-to-net commentary would be a notable concern given the franchise’s importance.</w:t>
      </w:r>
    </w:p>
    <w:bookmarkEnd w:id="12"/>
    <w:bookmarkStart w:id="13" w:name="Xf7495a49f91c178e81d0536a14f856cc8557d32"/>
    <w:p>
      <w:pPr>
        <w:pStyle w:val="Heading2"/>
      </w:pPr>
      <w:r>
        <w:t xml:space="preserve">JOURNAVX: the most important near-term commercial proof point</w:t>
      </w:r>
    </w:p>
    <w:p>
      <w:pPr>
        <w:pStyle w:val="FirstParagraph"/>
      </w:pPr>
      <w:r>
        <w:t xml:space="preserve">JOURNAVX is strategically important because it is Vertex’s first major attempt to establish a broad primary-care and acute-care commercial franchise outside rare disease. In 1Q, Vertex reported:</w:t>
      </w:r>
    </w:p>
    <w:p>
      <w:pPr>
        <w:pStyle w:val="Compact"/>
        <w:numPr>
          <w:ilvl w:val="0"/>
          <w:numId w:val="1002"/>
        </w:numPr>
      </w:pPr>
      <w:r>
        <w:t xml:space="preserve">More than</w:t>
      </w:r>
      <w:r>
        <w:t xml:space="preserve"> </w:t>
      </w:r>
      <w:r>
        <w:rPr>
          <w:b/>
          <w:bCs/>
        </w:rPr>
        <w:t xml:space="preserve">350,000 prescriptions filled</w:t>
      </w:r>
      <w:r>
        <w:t xml:space="preserve">;</w:t>
      </w:r>
    </w:p>
    <w:p>
      <w:pPr>
        <w:pStyle w:val="Compact"/>
        <w:numPr>
          <w:ilvl w:val="0"/>
          <w:numId w:val="1002"/>
        </w:numPr>
      </w:pPr>
      <w:r>
        <w:rPr>
          <w:b/>
          <w:bCs/>
        </w:rPr>
        <w:t xml:space="preserve">$29 million</w:t>
      </w:r>
      <w:r>
        <w:t xml:space="preserve"> </w:t>
      </w:r>
      <w:r>
        <w:t xml:space="preserve">of revenue;</w:t>
      </w:r>
    </w:p>
    <w:p>
      <w:pPr>
        <w:pStyle w:val="Compact"/>
        <w:numPr>
          <w:ilvl w:val="0"/>
          <w:numId w:val="1002"/>
        </w:numPr>
      </w:pPr>
      <w:r>
        <w:t xml:space="preserve">More than</w:t>
      </w:r>
      <w:r>
        <w:t xml:space="preserve"> </w:t>
      </w:r>
      <w:r>
        <w:rPr>
          <w:b/>
          <w:bCs/>
        </w:rPr>
        <w:t xml:space="preserve">1 million prescriptions</w:t>
      </w:r>
      <w:r>
        <w:t xml:space="preserve"> </w:t>
      </w:r>
      <w:r>
        <w:t xml:space="preserve">filled cumulatively since launch;</w:t>
      </w:r>
    </w:p>
    <w:p>
      <w:pPr>
        <w:pStyle w:val="Compact"/>
        <w:numPr>
          <w:ilvl w:val="0"/>
          <w:numId w:val="1002"/>
        </w:numPr>
      </w:pPr>
      <w:r>
        <w:t xml:space="preserve">Reimbursed access for approximately</w:t>
      </w:r>
      <w:r>
        <w:t xml:space="preserve"> </w:t>
      </w:r>
      <w:r>
        <w:rPr>
          <w:b/>
          <w:bCs/>
        </w:rPr>
        <w:t xml:space="preserve">240 million</w:t>
      </w:r>
      <w:r>
        <w:t xml:space="preserve"> </w:t>
      </w:r>
      <w:r>
        <w:t xml:space="preserve">people.</w:t>
      </w:r>
    </w:p>
    <w:p>
      <w:pPr>
        <w:pStyle w:val="FirstParagraph"/>
      </w:pPr>
      <w:r>
        <w:t xml:space="preserve">Management subsequently said it expects 2026 JOURNAVX prescriptions to exceed</w:t>
      </w:r>
      <w:r>
        <w:t xml:space="preserve"> </w:t>
      </w:r>
      <w:r>
        <w:rPr>
          <w:b/>
          <w:bCs/>
        </w:rPr>
        <w:t xml:space="preserve">three times</w:t>
      </w:r>
      <w:r>
        <w:t xml:space="preserve"> </w:t>
      </w:r>
      <w:r>
        <w:t xml:space="preserve">the more than 500,000 prescriptions recorded in 2025. It also indicated that revenue should grow faster than scripts as payer coverage improves and patient-support programs are reduced, normalizing gross-to-net economics.</w:t>
      </w:r>
    </w:p>
    <w:p>
      <w:pPr>
        <w:pStyle w:val="BodyText"/>
      </w:pPr>
      <w:r>
        <w:rPr>
          <w:b/>
          <w:bCs/>
        </w:rPr>
        <w:t xml:space="preserve">What investors should ask:</w:t>
      </w:r>
    </w:p>
    <w:p>
      <w:pPr>
        <w:pStyle w:val="Compact"/>
        <w:numPr>
          <w:ilvl w:val="0"/>
          <w:numId w:val="1003"/>
        </w:numPr>
      </w:pPr>
      <w:r>
        <w:t xml:space="preserve">Are quarterly prescriptions continuing to grow toward the company’s greater-than-1.5 million 2026 prescription objective?</w:t>
      </w:r>
    </w:p>
    <w:p>
      <w:pPr>
        <w:pStyle w:val="Compact"/>
        <w:numPr>
          <w:ilvl w:val="0"/>
          <w:numId w:val="1003"/>
        </w:numPr>
      </w:pPr>
      <w:r>
        <w:t xml:space="preserve">Is revenue per prescription improving as payer coverage expands?</w:t>
      </w:r>
    </w:p>
    <w:p>
      <w:pPr>
        <w:pStyle w:val="Compact"/>
        <w:numPr>
          <w:ilvl w:val="0"/>
          <w:numId w:val="1003"/>
        </w:numPr>
      </w:pPr>
      <w:r>
        <w:t xml:space="preserve">How quickly are hospitals, surgical practices, and retail prescribers making JOURNAVX a routine non-opioid option?</w:t>
      </w:r>
    </w:p>
    <w:p>
      <w:pPr>
        <w:pStyle w:val="Compact"/>
        <w:numPr>
          <w:ilvl w:val="0"/>
          <w:numId w:val="1003"/>
        </w:numPr>
      </w:pPr>
      <w:r>
        <w:t xml:space="preserve">Has broad PBM and Medicare coverage reduced access friction meaningfully?</w:t>
      </w:r>
    </w:p>
    <w:p>
      <w:pPr>
        <w:pStyle w:val="FirstParagraph"/>
      </w:pPr>
      <w:r>
        <w:t xml:space="preserve">The upside case is that JOURNAVX converts early interest into durable practice-level adoption. The risk case is that prescriptions grow but net revenue lags because of discounts, support programs, payer restrictions, or slower hospital formulary adoption.</w:t>
      </w:r>
    </w:p>
    <w:bookmarkEnd w:id="13"/>
    <w:bookmarkStart w:id="14" w:name="Xbc57aaaef9772a828129251464bc1b0e051e61a"/>
    <w:p>
      <w:pPr>
        <w:pStyle w:val="Heading2"/>
      </w:pPr>
      <w:r>
        <w:t xml:space="preserve">CASGEVY: watch operational momentum, not just quarterly revenue</w:t>
      </w:r>
    </w:p>
    <w:p>
      <w:pPr>
        <w:pStyle w:val="FirstParagraph"/>
      </w:pPr>
      <w:r>
        <w:t xml:space="preserve">CASGEVY revenue was $43 million in 1Q. This remains a long-duration treatment journey: patients must be identified, referred, prepared, conditioned, treated at authorized centers, and followed after infusion. Therefore, quarterly revenue can be uneven.</w:t>
      </w:r>
    </w:p>
    <w:p>
      <w:pPr>
        <w:pStyle w:val="BodyText"/>
      </w:pPr>
      <w:r>
        <w:t xml:space="preserve">The more useful indicators will be:</w:t>
      </w:r>
    </w:p>
    <w:p>
      <w:pPr>
        <w:pStyle w:val="Compact"/>
        <w:numPr>
          <w:ilvl w:val="0"/>
          <w:numId w:val="1004"/>
        </w:numPr>
      </w:pPr>
      <w:r>
        <w:t xml:space="preserve">Number of authorized treatment centers and center capacity;</w:t>
      </w:r>
    </w:p>
    <w:p>
      <w:pPr>
        <w:pStyle w:val="Compact"/>
        <w:numPr>
          <w:ilvl w:val="0"/>
          <w:numId w:val="1004"/>
        </w:numPr>
      </w:pPr>
      <w:r>
        <w:t xml:space="preserve">Patient initiations and patients progressing through the treatment pathway;</w:t>
      </w:r>
    </w:p>
    <w:p>
      <w:pPr>
        <w:pStyle w:val="Compact"/>
        <w:numPr>
          <w:ilvl w:val="0"/>
          <w:numId w:val="1004"/>
        </w:numPr>
      </w:pPr>
      <w:r>
        <w:t xml:space="preserve">Completed infusions and backlog visibility;</w:t>
      </w:r>
    </w:p>
    <w:p>
      <w:pPr>
        <w:pStyle w:val="Compact"/>
        <w:numPr>
          <w:ilvl w:val="0"/>
          <w:numId w:val="1004"/>
        </w:numPr>
      </w:pPr>
      <w:r>
        <w:t xml:space="preserve">Progress implementing reimbursed access in Germany;</w:t>
      </w:r>
    </w:p>
    <w:p>
      <w:pPr>
        <w:pStyle w:val="Compact"/>
        <w:numPr>
          <w:ilvl w:val="0"/>
          <w:numId w:val="1004"/>
        </w:numPr>
      </w:pPr>
      <w:r>
        <w:t xml:space="preserve">Updates on the U.S. pediatric filing for patients ages 5 to under 12 with sickle cell disease or transfusion-dependent beta thalassemia.</w:t>
      </w:r>
    </w:p>
    <w:p>
      <w:pPr>
        <w:pStyle w:val="FirstParagraph"/>
      </w:pPr>
      <w:r>
        <w:t xml:space="preserve">A meaningful uplift in treatment-center throughput would strengthen confidence that CASGEVY can become a material contributor to the non-CF revenue target.</w:t>
      </w:r>
    </w:p>
    <w:bookmarkEnd w:id="14"/>
    <w:bookmarkStart w:id="17" w:name="X858959ae0a161570b1861ba33d494a9be80da56"/>
    <w:p>
      <w:pPr>
        <w:pStyle w:val="Heading2"/>
      </w:pPr>
      <w:r>
        <w:t xml:space="preserve">Pipeline and regulatory catalysts: several opportunities in the second half</w:t>
      </w:r>
    </w:p>
    <w:p>
      <w:pPr>
        <w:pStyle w:val="FirstParagraph"/>
      </w:pPr>
      <w:r>
        <w:t xml:space="preserve">Vertex has an unusually catalyst-rich second half of 2026. Management commentary on timing and confidence may matter as much as the financial results.</w:t>
      </w:r>
    </w:p>
    <w:bookmarkStart w:id="15" w:name="povetacicept-in-iga-nephropathy"/>
    <w:p>
      <w:pPr>
        <w:pStyle w:val="Heading3"/>
      </w:pPr>
      <w:r>
        <w:t xml:space="preserve">Povetacicept in IgA nephropathy</w:t>
      </w:r>
    </w:p>
    <w:p>
      <w:pPr>
        <w:pStyle w:val="FirstParagraph"/>
      </w:pPr>
      <w:r>
        <w:t xml:space="preserve">The FDA has accepted Vertex’s BLA for accelerated approval in IgA nephropathy, with a</w:t>
      </w:r>
      <w:r>
        <w:t xml:space="preserve"> </w:t>
      </w:r>
      <w:r>
        <w:rPr>
          <w:b/>
          <w:bCs/>
        </w:rPr>
        <w:t xml:space="preserve">November 30, 2026 PDUFA date</w:t>
      </w:r>
      <w:r>
        <w:t xml:space="preserve">. This is potentially Vertex’s first renal launch and one of its most important medium-term value drivers.</w:t>
      </w:r>
    </w:p>
    <w:p>
      <w:pPr>
        <w:pStyle w:val="BodyText"/>
      </w:pPr>
      <w:r>
        <w:t xml:space="preserve">Investors will look for:</w:t>
      </w:r>
    </w:p>
    <w:p>
      <w:pPr>
        <w:pStyle w:val="Compact"/>
        <w:numPr>
          <w:ilvl w:val="0"/>
          <w:numId w:val="1005"/>
        </w:numPr>
      </w:pPr>
      <w:r>
        <w:t xml:space="preserve">Confirmation of launch readiness and expected commercial timing;</w:t>
      </w:r>
    </w:p>
    <w:p>
      <w:pPr>
        <w:pStyle w:val="Compact"/>
        <w:numPr>
          <w:ilvl w:val="0"/>
          <w:numId w:val="1005"/>
        </w:numPr>
      </w:pPr>
      <w:r>
        <w:t xml:space="preserve">Positioning versus other IgAN therapies;</w:t>
      </w:r>
    </w:p>
    <w:p>
      <w:pPr>
        <w:pStyle w:val="Compact"/>
        <w:numPr>
          <w:ilvl w:val="0"/>
          <w:numId w:val="1005"/>
        </w:numPr>
      </w:pPr>
      <w:r>
        <w:t xml:space="preserve">Updates on market access and nephrology infrastructure;</w:t>
      </w:r>
    </w:p>
    <w:p>
      <w:pPr>
        <w:pStyle w:val="Compact"/>
        <w:numPr>
          <w:ilvl w:val="0"/>
          <w:numId w:val="1005"/>
        </w:numPr>
      </w:pPr>
      <w:r>
        <w:t xml:space="preserve">Any new perspective on the pMN, generalized myasthenia gravis, or warm autoimmune hemolytic anemia opportunities.</w:t>
      </w:r>
    </w:p>
    <w:bookmarkEnd w:id="15"/>
    <w:bookmarkStart w:id="16" w:name="other-second-half-data-events"/>
    <w:p>
      <w:pPr>
        <w:pStyle w:val="Heading3"/>
      </w:pPr>
      <w:r>
        <w:t xml:space="preserve">Other second-half data events</w:t>
      </w:r>
    </w:p>
    <w:p>
      <w:pPr>
        <w:pStyle w:val="FirstParagraph"/>
      </w:pPr>
      <w:r>
        <w:t xml:space="preserve">Management has previously guided to several potential updates in 2H26:</w:t>
      </w:r>
    </w:p>
    <w:p>
      <w:pPr>
        <w:pStyle w:val="Compact"/>
        <w:numPr>
          <w:ilvl w:val="0"/>
          <w:numId w:val="1006"/>
        </w:numPr>
      </w:pPr>
      <w:r>
        <w:rPr>
          <w:b/>
          <w:bCs/>
        </w:rPr>
        <w:t xml:space="preserve">VX-828:</w:t>
      </w:r>
      <w:r>
        <w:t xml:space="preserve"> </w:t>
      </w:r>
      <w:r>
        <w:t xml:space="preserve">proof-of-concept data in next-generation CF therapy;</w:t>
      </w:r>
    </w:p>
    <w:p>
      <w:pPr>
        <w:pStyle w:val="Compact"/>
        <w:numPr>
          <w:ilvl w:val="0"/>
          <w:numId w:val="1006"/>
        </w:numPr>
      </w:pPr>
      <w:r>
        <w:rPr>
          <w:b/>
          <w:bCs/>
        </w:rPr>
        <w:t xml:space="preserve">Inaxaplin / AMPLIFIED:</w:t>
      </w:r>
      <w:r>
        <w:t xml:space="preserve"> </w:t>
      </w:r>
      <w:r>
        <w:t xml:space="preserve">Phase 2 results in APOL1-mediated kidney disease populations with modest proteinuria and/or type 2 diabetes;</w:t>
      </w:r>
    </w:p>
    <w:p>
      <w:pPr>
        <w:pStyle w:val="Compact"/>
        <w:numPr>
          <w:ilvl w:val="0"/>
          <w:numId w:val="1006"/>
        </w:numPr>
      </w:pPr>
      <w:r>
        <w:rPr>
          <w:b/>
          <w:bCs/>
        </w:rPr>
        <w:t xml:space="preserve">VX-670:</w:t>
      </w:r>
      <w:r>
        <w:t xml:space="preserve"> </w:t>
      </w:r>
      <w:r>
        <w:t xml:space="preserve">Phase 1/2 data in myotonic dystrophy type 1;</w:t>
      </w:r>
    </w:p>
    <w:p>
      <w:pPr>
        <w:pStyle w:val="Compact"/>
        <w:numPr>
          <w:ilvl w:val="0"/>
          <w:numId w:val="1006"/>
        </w:numPr>
      </w:pPr>
      <w:r>
        <w:t xml:space="preserve">Potential updates across renal and autoimmune programs.</w:t>
      </w:r>
    </w:p>
    <w:p>
      <w:pPr>
        <w:pStyle w:val="FirstParagraph"/>
      </w:pPr>
      <w:r>
        <w:t xml:space="preserve">The pipeline is a source of upside, but it also carries execution risk. Vertex recently discontinued VX-522 because of persistent tolerability issues, a reminder that the company’s diversification strategy depends on clinical programs delivering differentiated efficacy and safety.</w:t>
      </w:r>
    </w:p>
    <w:bookmarkEnd w:id="16"/>
    <w:bookmarkEnd w:id="17"/>
    <w:bookmarkStart w:id="18" w:name="X076231c69509eac4830a8a81d2ea08afb7648e3"/>
    <w:p>
      <w:pPr>
        <w:pStyle w:val="Heading2"/>
      </w:pPr>
      <w:r>
        <w:t xml:space="preserve">Crinetics acquisition: likely a major call topic</w:t>
      </w:r>
    </w:p>
    <w:p>
      <w:pPr>
        <w:pStyle w:val="FirstParagraph"/>
      </w:pPr>
      <w:r>
        <w:t xml:space="preserve">On July 6, Vertex agreed to acquire Crinetics Pharmaceuticals for</w:t>
      </w:r>
      <w:r>
        <w:t xml:space="preserve"> </w:t>
      </w:r>
      <m:oMath>
        <m:r>
          <m:t>85</m:t>
        </m:r>
        <m:r>
          <m:t>p</m:t>
        </m:r>
        <m:r>
          <m:t>e</m:t>
        </m:r>
        <m:r>
          <m:t>r</m:t>
        </m:r>
        <m:r>
          <m:t>s</m:t>
        </m:r>
        <m:r>
          <m:t>h</m:t>
        </m:r>
        <m:r>
          <m:t>a</m:t>
        </m:r>
        <m:r>
          <m:t>r</m:t>
        </m:r>
        <m:r>
          <m:t>e</m:t>
        </m:r>
        <m:r>
          <m:t>i</m:t>
        </m:r>
        <m:r>
          <m:t>n</m:t>
        </m:r>
        <m:r>
          <m:t>c</m:t>
        </m:r>
        <m:r>
          <m:t>a</m:t>
        </m:r>
        <m:r>
          <m:t>s</m:t>
        </m:r>
        <m:r>
          <m:t>h</m:t>
        </m:r>
        <m:r>
          <m:rPr>
            <m:sty m:val="p"/>
          </m:rPr>
          <m:t>*</m:t>
        </m:r>
        <m:r>
          <m:rPr>
            <m:sty m:val="p"/>
          </m:rPr>
          <m:t>*</m:t>
        </m:r>
        <m:r>
          <m:rPr>
            <m:sty m:val="p"/>
          </m:rPr>
          <m:t>,</m:t>
        </m:r>
        <m:r>
          <m:t>r</m:t>
        </m:r>
        <m:r>
          <m:t>e</m:t>
        </m:r>
        <m:r>
          <m:t>p</m:t>
        </m:r>
        <m:r>
          <m:t>r</m:t>
        </m:r>
        <m:r>
          <m:t>e</m:t>
        </m:r>
        <m:r>
          <m:t>s</m:t>
        </m:r>
        <m:r>
          <m:t>e</m:t>
        </m:r>
        <m:r>
          <m:t>n</m:t>
        </m:r>
        <m:r>
          <m:t>t</m:t>
        </m:r>
        <m:r>
          <m:t>i</m:t>
        </m:r>
        <m:r>
          <m:t>n</m:t>
        </m:r>
        <m:r>
          <m:t>g</m:t>
        </m:r>
        <m:r>
          <m:t>a</m:t>
        </m:r>
        <m:r>
          <m:rPr>
            <m:sty m:val="p"/>
          </m:rPr>
          <m:t>*</m:t>
        </m:r>
        <m:r>
          <m:rPr>
            <m:sty m:val="p"/>
          </m:rPr>
          <m:t>*</m:t>
        </m:r>
      </m:oMath>
      <w:r>
        <w:rPr>
          <w:b/>
          <w:bCs/>
        </w:rPr>
        <w:t xml:space="preserve">10.0 billion equity value</w:t>
      </w:r>
      <w:r>
        <w:t xml:space="preserve"> </w:t>
      </w:r>
      <w:r>
        <w:t xml:space="preserve">and approximately</w:t>
      </w:r>
      <w:r>
        <w:t xml:space="preserve"> </w:t>
      </w:r>
      <w:r>
        <w:rPr>
          <w:b/>
          <w:bCs/>
        </w:rPr>
        <w:t xml:space="preserve">$8.8 billion net of Crinetics cash</w:t>
      </w:r>
      <w:r>
        <w:t xml:space="preserve">. The transaction is expected to close in 3Q26, subject to customary conditions and shareholder approval.</w:t>
      </w:r>
    </w:p>
    <w:p>
      <w:pPr>
        <w:pStyle w:val="BodyText"/>
      </w:pPr>
      <w:r>
        <w:t xml:space="preserve">The deal adds:</w:t>
      </w:r>
    </w:p>
    <w:p>
      <w:pPr>
        <w:pStyle w:val="Compact"/>
        <w:numPr>
          <w:ilvl w:val="0"/>
          <w:numId w:val="1007"/>
        </w:numPr>
      </w:pPr>
      <w:r>
        <w:rPr>
          <w:b/>
          <w:bCs/>
        </w:rPr>
        <w:t xml:space="preserve">PALSONIFY</w:t>
      </w:r>
      <w:r>
        <w:t xml:space="preserve">, a once-daily oral acromegaly therapy launched in the U.S. in October 2025;</w:t>
      </w:r>
    </w:p>
    <w:p>
      <w:pPr>
        <w:pStyle w:val="Compact"/>
        <w:numPr>
          <w:ilvl w:val="0"/>
          <w:numId w:val="1007"/>
        </w:numPr>
      </w:pPr>
      <w:r>
        <w:rPr>
          <w:b/>
          <w:bCs/>
        </w:rPr>
        <w:t xml:space="preserve">Atumelnant</w:t>
      </w:r>
      <w:r>
        <w:t xml:space="preserve">, a late-stage ACTH receptor antagonist in congenital adrenal hyperplasia and earlier development in ACTH-dependent Cushing’s syndrome;</w:t>
      </w:r>
    </w:p>
    <w:p>
      <w:pPr>
        <w:pStyle w:val="Compact"/>
        <w:numPr>
          <w:ilvl w:val="0"/>
          <w:numId w:val="1007"/>
        </w:numPr>
      </w:pPr>
      <w:r>
        <w:t xml:space="preserve">A fifth therapeutic pillar in endocrinology, alongside CF, hematology, pain, and renal disease.</w:t>
      </w:r>
    </w:p>
    <w:p>
      <w:pPr>
        <w:pStyle w:val="FirstParagraph"/>
      </w:pPr>
      <w:r>
        <w:t xml:space="preserve">Vertex expects to fund the acquisition with cash plus</w:t>
      </w:r>
      <w:r>
        <w:t xml:space="preserve"> </w:t>
      </w:r>
      <w:r>
        <w:rPr>
          <w:b/>
          <w:bCs/>
        </w:rPr>
        <w:t xml:space="preserve">$4.5 billion of committed bridge financing</w:t>
      </w:r>
      <w:r>
        <w:t xml:space="preserve">. Management has said the transaction should have a modest 2026 revenue and non-GAAP expense effect because of its anticipated 3Q closing, with updated 2026 guidance expected at that point. It forecasts non-GAAP operating-income accretion in 2029.</w:t>
      </w:r>
    </w:p>
    <w:p>
      <w:pPr>
        <w:pStyle w:val="BodyText"/>
      </w:pPr>
      <w:r>
        <w:rPr>
          <w:b/>
          <w:bCs/>
        </w:rPr>
        <w:t xml:space="preserve">Key debate:</w:t>
      </w:r>
      <w:r>
        <w:t xml:space="preserve"> </w:t>
      </w:r>
      <w:r>
        <w:t xml:space="preserve">The strategic logic is straightforward—rare-disease, specialty-focused, oral medicines with attractive long-term margins—but investors will want detail on integration, financing, capital-allocation priorities, and the credibility of the roughly $5 billion-plus combined peak-sales opportunity assigned to Crinetics’ assets.</w:t>
      </w:r>
    </w:p>
    <w:bookmarkEnd w:id="18"/>
    <w:bookmarkStart w:id="19" w:name="expenses-margins-and-capital-allocation"/>
    <w:p>
      <w:pPr>
        <w:pStyle w:val="Heading2"/>
      </w:pPr>
      <w:r>
        <w:t xml:space="preserve">Expenses, margins, and capital allocation</w:t>
      </w:r>
    </w:p>
    <w:p>
      <w:pPr>
        <w:pStyle w:val="FirstParagraph"/>
      </w:pPr>
      <w:r>
        <w:t xml:space="preserve">Vertex maintained FY26 combined expense guidance of:</w:t>
      </w:r>
    </w:p>
    <w:p>
      <w:pPr>
        <w:pStyle w:val="Compact"/>
        <w:numPr>
          <w:ilvl w:val="0"/>
          <w:numId w:val="1008"/>
        </w:numPr>
      </w:pPr>
      <w:r>
        <w:rPr>
          <w:b/>
          <w:bCs/>
        </w:rPr>
        <w:t xml:space="preserve">GAAP R&amp;D, acquired IPR&amp;D, and SG&amp;A:</w:t>
      </w:r>
      <w:r>
        <w:t xml:space="preserve"> </w:t>
      </w:r>
      <m:oMath>
        <m:r>
          <m:t>6.30</m:t>
        </m:r>
        <m:r>
          <m:rPr>
            <m:sty m:val="p"/>
          </m:rPr>
          <m:t>–</m:t>
        </m:r>
      </m:oMath>
      <w:r>
        <w:t xml:space="preserve">6.45 billion</w:t>
      </w:r>
    </w:p>
    <w:p>
      <w:pPr>
        <w:pStyle w:val="Compact"/>
        <w:numPr>
          <w:ilvl w:val="0"/>
          <w:numId w:val="1008"/>
        </w:numPr>
      </w:pPr>
      <w:r>
        <w:rPr>
          <w:b/>
          <w:bCs/>
        </w:rPr>
        <w:t xml:space="preserve">Non-GAAP R&amp;D, acquired IPR&amp;D, and SG&amp;A:</w:t>
      </w:r>
      <w:r>
        <w:t xml:space="preserve"> </w:t>
      </w:r>
      <m:oMath>
        <m:r>
          <m:t>5.65</m:t>
        </m:r>
        <m:r>
          <m:rPr>
            <m:sty m:val="p"/>
          </m:rPr>
          <m:t>–</m:t>
        </m:r>
      </m:oMath>
      <w:r>
        <w:t xml:space="preserve">5.75 billion</w:t>
      </w:r>
    </w:p>
    <w:p>
      <w:pPr>
        <w:pStyle w:val="FirstParagraph"/>
      </w:pPr>
      <w:r>
        <w:t xml:space="preserve">With 1Q combined non-GAAP R&amp;D, acquired IPR&amp;D, and SG&amp;A at $1.29 billion, investors should expect spending to rise through the year as Vertex supports JOURNAVX, builds the renal commercial organization, advances late-stage trials, and prepares for potential launches.</w:t>
      </w:r>
    </w:p>
    <w:p>
      <w:pPr>
        <w:pStyle w:val="BodyText"/>
      </w:pPr>
      <w:r>
        <w:t xml:space="preserve">The company ended 1Q with</w:t>
      </w:r>
      <w:r>
        <w:t xml:space="preserve"> </w:t>
      </w:r>
      <w:r>
        <w:rPr>
          <w:b/>
          <w:bCs/>
        </w:rPr>
        <w:t xml:space="preserve">$13.0 billion</w:t>
      </w:r>
      <w:r>
        <w:t xml:space="preserve"> </w:t>
      </w:r>
      <w:r>
        <w:t xml:space="preserve">in cash, cash equivalents, and marketable securities. The Crinetics transaction materially changes the capital-allocation discussion: Vertex retains substantial financial flexibility, but the acquisition increases the importance of demonstrating disciplined integration and eventual earnings accretion.</w:t>
      </w:r>
    </w:p>
    <w:bookmarkEnd w:id="19"/>
    <w:bookmarkStart w:id="20" w:name="stock-setup"/>
    <w:p>
      <w:pPr>
        <w:pStyle w:val="Heading2"/>
      </w:pPr>
      <w:r>
        <w:t xml:space="preserve">Stock setup</w:t>
      </w:r>
    </w:p>
    <w:p>
      <w:pPr>
        <w:pStyle w:val="FirstParagraph"/>
      </w:pPr>
      <w:r>
        <w:t xml:space="preserve">VRTX closed at</w:t>
      </w:r>
      <w:r>
        <w:t xml:space="preserve"> </w:t>
      </w:r>
      <m:oMath>
        <m:r>
          <m:t>477.14</m:t>
        </m:r>
        <m:r>
          <m:t>o</m:t>
        </m:r>
        <m:r>
          <m:t>n</m:t>
        </m:r>
        <m:r>
          <m:t>J</m:t>
        </m:r>
        <m:r>
          <m:t>u</m:t>
        </m:r>
        <m:r>
          <m:t>l</m:t>
        </m:r>
        <m:r>
          <m:t>y</m:t>
        </m:r>
        <m:r>
          <m:t>31</m:t>
        </m:r>
        <m:r>
          <m:rPr>
            <m:sty m:val="p"/>
          </m:rPr>
          <m:t>*</m:t>
        </m:r>
        <m:r>
          <m:rPr>
            <m:sty m:val="p"/>
          </m:rPr>
          <m:t>*</m:t>
        </m:r>
        <m:r>
          <m:rPr>
            <m:sty m:val="p"/>
          </m:rPr>
          <m:t>,</m:t>
        </m:r>
        <m:r>
          <m:t>u</m:t>
        </m:r>
        <m:r>
          <m:t>p</m:t>
        </m:r>
        <m:r>
          <m:t>a</m:t>
        </m:r>
        <m:r>
          <m:t>b</m:t>
        </m:r>
        <m:r>
          <m:t>o</m:t>
        </m:r>
        <m:r>
          <m:t>u</m:t>
        </m:r>
        <m:r>
          <m:t>t</m:t>
        </m:r>
        <m:r>
          <m:rPr>
            <m:sty m:val="p"/>
          </m:rPr>
          <m:t>*</m:t>
        </m:r>
        <m:r>
          <m:rPr>
            <m:sty m:val="p"/>
          </m:rPr>
          <m:t>*</m:t>
        </m:r>
        <m:r>
          <m:t>12.5</m:t>
        </m:r>
      </m:oMath>
      <w:r>
        <w:rPr>
          <w:b/>
          <w:bCs/>
        </w:rPr>
        <w:t xml:space="preserve">529.59 on July 6</w:t>
      </w:r>
      <w:r>
        <w:t xml:space="preserve">, around the Crinetics deal announcement, before retracing nearly 10% into month-end.</w:t>
      </w:r>
    </w:p>
    <w:p>
      <w:pPr>
        <w:pStyle w:val="BodyText"/>
      </w:pPr>
      <w:r>
        <w:t xml:space="preserve">That performance suggests investors are already assigning value to the diversification story, but are also weighing acquisition cost, the magnitude of the non-CF commercial ramp required this year, and the timing of pipeline-derived revenue.</w:t>
      </w:r>
    </w:p>
    <w:bookmarkEnd w:id="20"/>
    <w:bookmarkStart w:id="23" w:name="X258eb82d3f42d79140dddd2000cc14ff70c8f17"/>
    <w:p>
      <w:pPr>
        <w:pStyle w:val="Heading2"/>
      </w:pPr>
      <w:r>
        <w:t xml:space="preserve">What constitutes a bull versus bear outcome?</w:t>
      </w:r>
    </w:p>
    <w:bookmarkStart w:id="21" w:name="bull-case"/>
    <w:p>
      <w:pPr>
        <w:pStyle w:val="Heading3"/>
      </w:pPr>
      <w:r>
        <w:t xml:space="preserve">Bull case</w:t>
      </w:r>
    </w:p>
    <w:p>
      <w:pPr>
        <w:pStyle w:val="Compact"/>
        <w:numPr>
          <w:ilvl w:val="0"/>
          <w:numId w:val="1009"/>
        </w:numPr>
      </w:pPr>
      <w:r>
        <w:t xml:space="preserve">Revenue trajectory supports, or raises confidence in, the</w:t>
      </w:r>
      <w:r>
        <w:t xml:space="preserve"> </w:t>
      </w:r>
      <m:oMath>
        <m:r>
          <m:t>12.95</m:t>
        </m:r>
        <m:r>
          <m:rPr>
            <m:sty m:val="p"/>
          </m:rPr>
          <m:t>–</m:t>
        </m:r>
      </m:oMath>
      <w:r>
        <w:t xml:space="preserve">13.10 billion FY26 range;</w:t>
      </w:r>
    </w:p>
    <w:p>
      <w:pPr>
        <w:pStyle w:val="Compact"/>
        <w:numPr>
          <w:ilvl w:val="0"/>
          <w:numId w:val="1009"/>
        </w:numPr>
      </w:pPr>
      <w:r>
        <w:t xml:space="preserve">Strong total CF franchise performance and continued ALYFTREK conversion;</w:t>
      </w:r>
    </w:p>
    <w:p>
      <w:pPr>
        <w:pStyle w:val="Compact"/>
        <w:numPr>
          <w:ilvl w:val="0"/>
          <w:numId w:val="1009"/>
        </w:numPr>
      </w:pPr>
      <w:r>
        <w:t xml:space="preserve">Clear JOURNAVX script growth with improved net pricing and payer access;</w:t>
      </w:r>
    </w:p>
    <w:p>
      <w:pPr>
        <w:pStyle w:val="Compact"/>
        <w:numPr>
          <w:ilvl w:val="0"/>
          <w:numId w:val="1009"/>
        </w:numPr>
      </w:pPr>
      <w:r>
        <w:t xml:space="preserve">CASGEVY treatment-center and patient-flow momentum;</w:t>
      </w:r>
    </w:p>
    <w:p>
      <w:pPr>
        <w:pStyle w:val="Compact"/>
        <w:numPr>
          <w:ilvl w:val="0"/>
          <w:numId w:val="1009"/>
        </w:numPr>
      </w:pPr>
      <w:r>
        <w:t xml:space="preserve">Reinforced timing for povetacicept launch and 2H pipeline catalysts;</w:t>
      </w:r>
    </w:p>
    <w:p>
      <w:pPr>
        <w:pStyle w:val="Compact"/>
        <w:numPr>
          <w:ilvl w:val="0"/>
          <w:numId w:val="1009"/>
        </w:numPr>
      </w:pPr>
      <w:r>
        <w:t xml:space="preserve">Clear, disciplined commentary on Crinetics financing and integration.</w:t>
      </w:r>
    </w:p>
    <w:bookmarkEnd w:id="21"/>
    <w:bookmarkStart w:id="22" w:name="bear-case"/>
    <w:p>
      <w:pPr>
        <w:pStyle w:val="Heading3"/>
      </w:pPr>
      <w:r>
        <w:t xml:space="preserve">Bear case</w:t>
      </w:r>
    </w:p>
    <w:p>
      <w:pPr>
        <w:pStyle w:val="Compact"/>
        <w:numPr>
          <w:ilvl w:val="0"/>
          <w:numId w:val="1010"/>
        </w:numPr>
      </w:pPr>
      <w:r>
        <w:t xml:space="preserve">CF growth underwhelms as ALYFTREK switching fails to offset pressure elsewhere in the franchise;</w:t>
      </w:r>
    </w:p>
    <w:p>
      <w:pPr>
        <w:pStyle w:val="Compact"/>
        <w:numPr>
          <w:ilvl w:val="0"/>
          <w:numId w:val="1010"/>
        </w:numPr>
      </w:pPr>
      <w:r>
        <w:t xml:space="preserve">JOURNAVX revenue remains modest despite prescription growth, signaling unfavorable gross-to-net or limited payer conversion;</w:t>
      </w:r>
    </w:p>
    <w:p>
      <w:pPr>
        <w:pStyle w:val="Compact"/>
        <w:numPr>
          <w:ilvl w:val="0"/>
          <w:numId w:val="1010"/>
        </w:numPr>
      </w:pPr>
      <w:r>
        <w:t xml:space="preserve">CASGEVY revenue and patient throughput remain volatile or slow;</w:t>
      </w:r>
    </w:p>
    <w:p>
      <w:pPr>
        <w:pStyle w:val="Compact"/>
        <w:numPr>
          <w:ilvl w:val="0"/>
          <w:numId w:val="1010"/>
        </w:numPr>
      </w:pPr>
      <w:r>
        <w:t xml:space="preserve">Guidance relies increasingly on a back-half acceleration without adequate commercial evidence;</w:t>
      </w:r>
    </w:p>
    <w:p>
      <w:pPr>
        <w:pStyle w:val="Compact"/>
        <w:numPr>
          <w:ilvl w:val="0"/>
          <w:numId w:val="1010"/>
        </w:numPr>
      </w:pPr>
      <w:r>
        <w:t xml:space="preserve">Higher operating-expense expectations or deal-related uncertainty weaken the earnings outlook;</w:t>
      </w:r>
    </w:p>
    <w:p>
      <w:pPr>
        <w:pStyle w:val="Compact"/>
        <w:numPr>
          <w:ilvl w:val="0"/>
          <w:numId w:val="1010"/>
        </w:numPr>
      </w:pPr>
      <w:r>
        <w:t xml:space="preserve">Pipeline timing slips or management becomes less definitive around key 2H data events.</w:t>
      </w:r>
    </w:p>
    <w:bookmarkEnd w:id="22"/>
    <w:bookmarkEnd w:id="23"/>
    <w:bookmarkStart w:id="24" w:name="bottom-line"/>
    <w:p>
      <w:pPr>
        <w:pStyle w:val="Heading2"/>
      </w:pPr>
      <w:r>
        <w:t xml:space="preserve">Bottom line</w:t>
      </w:r>
    </w:p>
    <w:p>
      <w:pPr>
        <w:pStyle w:val="FirstParagraph"/>
      </w:pPr>
      <w:r>
        <w:t xml:space="preserve">Vertex’s 2Q report is primarily an</w:t>
      </w:r>
      <w:r>
        <w:t xml:space="preserve"> </w:t>
      </w:r>
      <w:r>
        <w:rPr>
          <w:b/>
          <w:bCs/>
        </w:rPr>
        <w:t xml:space="preserve">execution checkpoint</w:t>
      </w:r>
      <w:r>
        <w:t xml:space="preserve">. CF should remain resilient, but the investment case increasingly depends on evidence that JOURNAVX and CASGEVY can scale fast enough to meet the company’s non-CF revenue ambition, while povetacicept and the broader renal pipeline create a credible next growth pillar.</w:t>
      </w:r>
    </w:p>
    <w:p>
      <w:pPr>
        <w:pStyle w:val="BodyText"/>
      </w:pPr>
      <w:r>
        <w:t xml:space="preserve">The Crinetics deal adds long-term strategic optionality, but it also raises the standard for capital allocation and near-term communication. For the quarter, the most important data points will be</w:t>
      </w:r>
      <w:r>
        <w:t xml:space="preserve"> </w:t>
      </w:r>
      <w:r>
        <w:rPr>
          <w:b/>
          <w:bCs/>
        </w:rPr>
        <w:t xml:space="preserve">total CF growth, JOURNAVX’s revenue conversion versus prescription growth, CASGEVY treatment throughput, confirmation of FY26 guidance, and the credibility of the upcoming renal-launch and pipeline timetable.</w:t>
      </w:r>
    </w:p>
    <w:p>
      <w:pPr>
        <w:pStyle w:val="BodyText"/>
      </w:pPr>
      <w:r>
        <w:rPr>
          <w:i/>
          <w:iCs/>
        </w:rPr>
        <w:t xml:space="preserve">Research basis: Vertex 1Q26 earnings release and earnings call; Vertex’s June 10 Goldman Sachs healthcare-conference remarks; Vertex’s July 6 Crinetics acquisition presentation; and Vertex’s July 7, 2026 earnings-date announcement.</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2026-08-03T00:07:13Z</dcterms:created>
  <dcterms:modified xsi:type="dcterms:W3CDTF">2026-08-03T00:07:13Z</dcterms:modified>
</cp:coreProperties>
</file>

<file path=docProps/custom.xml><?xml version="1.0" encoding="utf-8"?>
<Properties xmlns="http://schemas.openxmlformats.org/officeDocument/2006/custom-properties" xmlns:vt="http://schemas.openxmlformats.org/officeDocument/2006/docPropsVTypes"/>
</file>