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Vertex Pharmaceuticals (VRTX)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Vertex Pharmaceuticals Incorporated</w:t>
            </w:r>
          </w:p>
        </w:tc>
      </w:tr>
      <w:tr>
        <w:tc>
          <w:tcPr>
            <w:tcW w:type="dxa" w:w="4320"/>
          </w:tcPr>
          <w:p>
            <w:r>
              <w:rPr>
                <w:rFonts w:ascii="Calibri" w:hAnsi="Calibri"/>
                <w:b/>
                <w:sz w:val="22"/>
              </w:rPr>
              <w:t>Ticker</w:t>
            </w:r>
          </w:p>
        </w:tc>
        <w:tc>
          <w:tcPr>
            <w:tcW w:type="dxa" w:w="4320"/>
          </w:tcPr>
          <w:p>
            <w:r>
              <w:rPr>
                <w:rFonts w:ascii="Calibri" w:hAnsi="Calibri"/>
                <w:sz w:val="22"/>
              </w:rPr>
              <w:t>VRTX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Last Earnings</w:t>
            </w:r>
          </w:p>
        </w:tc>
        <w:tc>
          <w:tcPr>
            <w:tcW w:type="dxa" w:w="4320"/>
          </w:tcPr>
          <w:p>
            <w:r>
              <w:rPr>
                <w:rFonts w:ascii="Calibri" w:hAnsi="Calibri"/>
                <w:sz w:val="22"/>
              </w:rPr>
              <w:t>May 4,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is constructive — consensus is a manageable bar and the biggest swing factor is </w:t>
      </w:r>
      <w:r>
        <w:rPr>
          <w:rFonts w:ascii="Calibri" w:hAnsi="Calibri"/>
          <w:b/>
          <w:color w:val="002FA7"/>
          <w:sz w:val="22"/>
        </w:rPr>
        <w:t>JOURNAVX revenue conversion</w:t>
      </w:r>
      <w:r>
        <w:rPr>
          <w:rFonts w:ascii="Calibri" w:hAnsi="Calibri"/>
          <w:b/>
          <w:color w:val="525866"/>
          <w:sz w:val="22"/>
        </w:rPr>
        <w:t xml:space="preserve"> as gross-to-net normalizes in Q2, with the $10B Crinetics acquisition adding a meaningful wildcard on capital allocation tone.</w:t>
      </w:r>
    </w:p>
    <w:p>
      <w:r>
        <w:rPr>
          <w:rFonts w:ascii="Calibri" w:hAnsi="Calibri"/>
          <w:color w:val="525866"/>
          <w:sz w:val="22"/>
        </w:rPr>
        <w:t xml:space="preserve">Heading into Q2 2026, the bar for VRTX looks achievable: consensus revenue of ~$3.22B implies roughly 8.6% YoY growth, consistent with the full-year guidance range of $12.95B–$13.1B that management reiterated unchanged at Q1. The most important variable is </w:t>
      </w:r>
      <w:r>
        <w:rPr>
          <w:rFonts w:ascii="Calibri" w:hAnsi="Calibri"/>
          <w:b/>
          <w:color w:val="525866"/>
          <w:sz w:val="22"/>
        </w:rPr>
        <w:t>JOURNAVX revenue</w:t>
      </w:r>
      <w:r>
        <w:rPr>
          <w:rFonts w:ascii="Calibri" w:hAnsi="Calibri"/>
          <w:color w:val="525866"/>
          <w:sz w:val="22"/>
        </w:rPr>
        <w:t>, where Q1's $29M print was depressed by channel destocking, Medicare Part D resets, and lower elective surgery volumes — management explicitly guided to a meaningful sequential ramp in Q2 as gross-to-net normalizes, coverage expands to 240M+ lives (including 2 of 4 major Medicare Part D plans), and the doubled 300-person field force reaches full productivity. Estimate revisions have been stable-to-modestly-higher since the Q1 print, suggesting the Street has absorbed the Q1 noise and is now pricing in the recovery narrative. The stock has rallied ~11% since last earnings (vs. XBI +10%, SPY +4%), with the bulk of the outperformance driven by the July 2 Crinetics acquisition announcement, which initially spiked VRTX ~23% before partially retracing as investors digested the $10B price tag and 2029 accretion timeline. The wildcard heading into the print is whether management updates 2026 guidance to reflect the Crinetics close (expected Q3 2026) and how the Street interprets the incremental OpEx burden — any guidance raise on revenue with contained OpEx impact would be a positive catalyst, while a wider-than-expected dilution to near-term non-GAAP EPS could pressure the stock despite a solid underlying quarter.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on revenue (~$3.22B, +8.6% YoY) and non-GAAP EPS (~$4.72). </w:t>
      </w:r>
      <w:r>
        <w:rPr>
          <w:rFonts w:ascii="Calibri" w:hAnsi="Calibri"/>
          <w:color w:val="525866"/>
          <w:sz w:val="22"/>
        </w:rPr>
        <w:t>JOURNAVX revenue ($49M consensus) is the bigger swing factor — a meaningful beat here would confirm the gross-to-net normalization thesis and drive upside to the non-CF $500M+ full-year target.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$2,987</w:t>
            </w:r>
          </w:p>
        </w:tc>
        <w:tc>
          <w:tcPr>
            <w:tcW w:type="dxa" w:w="1234"/>
          </w:tcPr>
          <w:p>
            <w:r>
              <w:rPr>
                <w:rFonts w:ascii="Calibri" w:hAnsi="Calibri"/>
                <w:sz w:val="22"/>
              </w:rPr>
              <w:t>$2,965</w:t>
            </w:r>
          </w:p>
        </w:tc>
        <w:tc>
          <w:tcPr>
            <w:tcW w:type="dxa" w:w="1234"/>
          </w:tcPr>
          <w:p>
            <w:r>
              <w:rPr>
                <w:rFonts w:ascii="Calibri" w:hAnsi="Calibri"/>
                <w:sz w:val="22"/>
              </w:rPr>
              <w:t>$3,221</w:t>
            </w:r>
          </w:p>
        </w:tc>
        <w:tc>
          <w:tcPr>
            <w:tcW w:type="dxa" w:w="1234"/>
          </w:tcPr>
          <w:p>
            <w:r>
              <w:rPr>
                <w:rFonts w:ascii="Calibri" w:hAnsi="Calibri"/>
                <w:sz w:val="22"/>
              </w:rPr>
              <w:t>+8.6%</w:t>
            </w:r>
          </w:p>
        </w:tc>
        <w:tc>
          <w:tcPr>
            <w:tcW w:type="dxa" w:w="1234"/>
          </w:tcPr>
          <w:p>
            <w:r>
              <w:rPr>
                <w:rFonts w:ascii="Calibri" w:hAnsi="Calibri"/>
                <w:sz w:val="22"/>
              </w:rPr>
              <w:t>$12,950–$13,100M (FY)</w:t>
            </w:r>
          </w:p>
        </w:tc>
        <w:tc>
          <w:tcPr>
            <w:tcW w:type="dxa" w:w="1234"/>
          </w:tcPr>
          <w:p>
            <w:r>
              <w:rPr>
                <w:rFonts w:ascii="Calibri" w:hAnsi="Calibri"/>
                <w:sz w:val="22"/>
              </w:rPr>
              <w:t>~–0.2% vs. midpoint ($13,025M)</w:t>
            </w:r>
          </w:p>
        </w:tc>
      </w:tr>
      <w:tr>
        <w:tc>
          <w:tcPr>
            <w:tcW w:type="dxa" w:w="1234"/>
          </w:tcPr>
          <w:p>
            <w:r>
              <w:rPr>
                <w:rFonts w:ascii="Calibri" w:hAnsi="Calibri"/>
                <w:sz w:val="22"/>
              </w:rPr>
              <w:t>Non-GAAP EPS (Diluted)</w:t>
            </w:r>
          </w:p>
        </w:tc>
        <w:tc>
          <w:tcPr>
            <w:tcW w:type="dxa" w:w="1234"/>
          </w:tcPr>
          <w:p>
            <w:r>
              <w:rPr>
                <w:rFonts w:ascii="Calibri" w:hAnsi="Calibri"/>
                <w:sz w:val="22"/>
              </w:rPr>
              <w:t>$4.47</w:t>
            </w:r>
          </w:p>
        </w:tc>
        <w:tc>
          <w:tcPr>
            <w:tcW w:type="dxa" w:w="1234"/>
          </w:tcPr>
          <w:p>
            <w:r>
              <w:rPr>
                <w:rFonts w:ascii="Calibri" w:hAnsi="Calibri"/>
                <w:sz w:val="22"/>
              </w:rPr>
              <w:t>$4.52</w:t>
            </w:r>
          </w:p>
        </w:tc>
        <w:tc>
          <w:tcPr>
            <w:tcW w:type="dxa" w:w="1234"/>
          </w:tcPr>
          <w:p>
            <w:r>
              <w:rPr>
                <w:rFonts w:ascii="Calibri" w:hAnsi="Calibri"/>
                <w:sz w:val="22"/>
              </w:rPr>
              <w:t>$4.72</w:t>
            </w:r>
          </w:p>
        </w:tc>
        <w:tc>
          <w:tcPr>
            <w:tcW w:type="dxa" w:w="1234"/>
          </w:tcPr>
          <w:p>
            <w:r>
              <w:rPr>
                <w:rFonts w:ascii="Calibri" w:hAnsi="Calibri"/>
                <w:sz w:val="22"/>
              </w:rPr>
              <w:t>+4.4%</w:t>
            </w:r>
          </w:p>
        </w:tc>
        <w:tc>
          <w:tcPr>
            <w:tcW w:type="dxa" w:w="1234"/>
          </w:tcPr>
          <w:p>
            <w:r>
              <w:rPr>
                <w:rFonts w:ascii="Calibri" w:hAnsi="Calibri"/>
                <w:sz w:val="22"/>
              </w:rPr>
              <w:t>Tax rate 19.5%–20.5% (FY)</w:t>
            </w:r>
          </w:p>
        </w:tc>
        <w:tc>
          <w:tcPr>
            <w:tcW w:type="dxa" w:w="1234"/>
          </w:tcPr>
          <w:p>
            <w:r>
              <w:rPr>
                <w:rFonts w:ascii="Calibri" w:hAnsi="Calibri"/>
                <w:sz w:val="22"/>
              </w:rPr>
              <w:t>N/A — no quarterly EPS guidance</w:t>
            </w:r>
          </w:p>
        </w:tc>
      </w:tr>
      <w:tr>
        <w:tc>
          <w:tcPr>
            <w:tcW w:type="dxa" w:w="1234"/>
          </w:tcPr>
          <w:p>
            <w:r>
              <w:rPr>
                <w:rFonts w:ascii="Calibri" w:hAnsi="Calibri"/>
                <w:sz w:val="22"/>
              </w:rPr>
              <w:t>JOURNAVX / VX-548 Revenue ($M)</w:t>
            </w:r>
          </w:p>
        </w:tc>
        <w:tc>
          <w:tcPr>
            <w:tcW w:type="dxa" w:w="1234"/>
          </w:tcPr>
          <w:p>
            <w:r>
              <w:rPr>
                <w:rFonts w:ascii="Calibri" w:hAnsi="Calibri"/>
                <w:sz w:val="22"/>
              </w:rPr>
              <w:t>$29</w:t>
            </w:r>
          </w:p>
        </w:tc>
        <w:tc>
          <w:tcPr>
            <w:tcW w:type="dxa" w:w="1234"/>
          </w:tcPr>
          <w:p>
            <w:r>
              <w:rPr>
                <w:rFonts w:ascii="Calibri" w:hAnsi="Calibri"/>
                <w:sz w:val="22"/>
              </w:rPr>
              <w:t>$12</w:t>
            </w:r>
          </w:p>
        </w:tc>
        <w:tc>
          <w:tcPr>
            <w:tcW w:type="dxa" w:w="1234"/>
          </w:tcPr>
          <w:p>
            <w:r>
              <w:rPr>
                <w:rFonts w:ascii="Calibri" w:hAnsi="Calibri"/>
                <w:sz w:val="22"/>
              </w:rPr>
              <w:t>$49</w:t>
            </w:r>
          </w:p>
        </w:tc>
        <w:tc>
          <w:tcPr>
            <w:tcW w:type="dxa" w:w="1234"/>
          </w:tcPr>
          <w:p>
            <w:r>
              <w:rPr>
                <w:rFonts w:ascii="Calibri" w:hAnsi="Calibri"/>
                <w:sz w:val="22"/>
              </w:rPr>
              <w:t>+308%</w:t>
            </w:r>
          </w:p>
        </w:tc>
        <w:tc>
          <w:tcPr>
            <w:tcW w:type="dxa" w:w="1234"/>
          </w:tcPr>
          <w:p>
            <w:r>
              <w:rPr>
                <w:rFonts w:ascii="Calibri" w:hAnsi="Calibri"/>
                <w:sz w:val="22"/>
              </w:rPr>
              <w:t>$500M+ non-CF combined (FY)</w:t>
            </w:r>
          </w:p>
        </w:tc>
        <w:tc>
          <w:tcPr>
            <w:tcW w:type="dxa" w:w="1234"/>
          </w:tcPr>
          <w:p>
            <w:r>
              <w:rPr>
                <w:rFonts w:ascii="Calibri" w:hAnsi="Calibri"/>
                <w:sz w:val="22"/>
              </w:rPr>
              <w:t>N/A — combined non-CF target</w:t>
            </w:r>
          </w:p>
        </w:tc>
      </w:tr>
      <w:tr>
        <w:tc>
          <w:tcPr>
            <w:tcW w:type="dxa" w:w="1234"/>
          </w:tcPr>
          <w:p>
            <w:r>
              <w:rPr>
                <w:rFonts w:ascii="Calibri" w:hAnsi="Calibri"/>
                <w:sz w:val="22"/>
              </w:rPr>
              <w:t>ALYFTREK Revenue ($M)</w:t>
            </w:r>
          </w:p>
        </w:tc>
        <w:tc>
          <w:tcPr>
            <w:tcW w:type="dxa" w:w="1234"/>
          </w:tcPr>
          <w:p>
            <w:r>
              <w:rPr>
                <w:rFonts w:ascii="Calibri" w:hAnsi="Calibri"/>
                <w:sz w:val="22"/>
              </w:rPr>
              <w:t>$424</w:t>
            </w:r>
          </w:p>
        </w:tc>
        <w:tc>
          <w:tcPr>
            <w:tcW w:type="dxa" w:w="1234"/>
          </w:tcPr>
          <w:p>
            <w:r>
              <w:rPr>
                <w:rFonts w:ascii="Calibri" w:hAnsi="Calibri"/>
                <w:sz w:val="22"/>
              </w:rPr>
              <w:t>$157</w:t>
            </w:r>
          </w:p>
        </w:tc>
        <w:tc>
          <w:tcPr>
            <w:tcW w:type="dxa" w:w="1234"/>
          </w:tcPr>
          <w:p>
            <w:r>
              <w:rPr>
                <w:rFonts w:ascii="Calibri" w:hAnsi="Calibri"/>
                <w:sz w:val="22"/>
              </w:rPr>
              <w:t>$521</w:t>
            </w:r>
          </w:p>
        </w:tc>
        <w:tc>
          <w:tcPr>
            <w:tcW w:type="dxa" w:w="1234"/>
          </w:tcPr>
          <w:p>
            <w:r>
              <w:rPr>
                <w:rFonts w:ascii="Calibri" w:hAnsi="Calibri"/>
                <w:sz w:val="22"/>
              </w:rPr>
              <w:t>+232%</w:t>
            </w:r>
          </w:p>
        </w:tc>
        <w:tc>
          <w:tcPr>
            <w:tcW w:type="dxa" w:w="1234"/>
          </w:tcPr>
          <w:p>
            <w:r>
              <w:rPr>
                <w:rFonts w:ascii="Calibri" w:hAnsi="Calibri"/>
                <w:sz w:val="22"/>
              </w:rPr>
              <w:t>Included in CF franchise guidance</w:t>
            </w:r>
          </w:p>
        </w:tc>
        <w:tc>
          <w:tcPr>
            <w:tcW w:type="dxa" w:w="1234"/>
          </w:tcPr>
          <w:p>
            <w:r>
              <w:rPr>
                <w:rFonts w:ascii="Calibri" w:hAnsi="Calibri"/>
                <w:sz w:val="22"/>
              </w:rPr>
              <w:t>N/A — no product-level guidance</w:t>
            </w:r>
          </w:p>
        </w:tc>
      </w:tr>
      <w:tr>
        <w:tc>
          <w:tcPr>
            <w:tcW w:type="dxa" w:w="1234"/>
          </w:tcPr>
          <w:p>
            <w:r>
              <w:rPr>
                <w:rFonts w:ascii="Calibri" w:hAnsi="Calibri"/>
                <w:sz w:val="22"/>
              </w:rPr>
              <w:t>TRIKAFTA Revenue ($M)</w:t>
            </w:r>
          </w:p>
        </w:tc>
        <w:tc>
          <w:tcPr>
            <w:tcW w:type="dxa" w:w="1234"/>
          </w:tcPr>
          <w:p>
            <w:r>
              <w:rPr>
                <w:rFonts w:ascii="Calibri" w:hAnsi="Calibri"/>
                <w:sz w:val="22"/>
              </w:rPr>
              <w:t>$2,355</w:t>
            </w:r>
          </w:p>
        </w:tc>
        <w:tc>
          <w:tcPr>
            <w:tcW w:type="dxa" w:w="1234"/>
          </w:tcPr>
          <w:p>
            <w:r>
              <w:rPr>
                <w:rFonts w:ascii="Calibri" w:hAnsi="Calibri"/>
                <w:sz w:val="22"/>
              </w:rPr>
              <w:t>$2,551</w:t>
            </w:r>
          </w:p>
        </w:tc>
        <w:tc>
          <w:tcPr>
            <w:tcW w:type="dxa" w:w="1234"/>
          </w:tcPr>
          <w:p>
            <w:r>
              <w:rPr>
                <w:rFonts w:ascii="Calibri" w:hAnsi="Calibri"/>
                <w:sz w:val="22"/>
              </w:rPr>
              <w:t>$2,511</w:t>
            </w:r>
          </w:p>
        </w:tc>
        <w:tc>
          <w:tcPr>
            <w:tcW w:type="dxa" w:w="1234"/>
          </w:tcPr>
          <w:p>
            <w:r>
              <w:rPr>
                <w:rFonts w:ascii="Calibri" w:hAnsi="Calibri"/>
                <w:sz w:val="22"/>
              </w:rPr>
              <w:t>–1.6%</w:t>
            </w:r>
          </w:p>
        </w:tc>
        <w:tc>
          <w:tcPr>
            <w:tcW w:type="dxa" w:w="1234"/>
          </w:tcPr>
          <w:p>
            <w:r>
              <w:rPr>
                <w:rFonts w:ascii="Calibri" w:hAnsi="Calibri"/>
                <w:sz w:val="22"/>
              </w:rPr>
              <w:t>Included in CF franchise guidance</w:t>
            </w:r>
          </w:p>
        </w:tc>
        <w:tc>
          <w:tcPr>
            <w:tcW w:type="dxa" w:w="1234"/>
          </w:tcPr>
          <w:p>
            <w:r>
              <w:rPr>
                <w:rFonts w:ascii="Calibri" w:hAnsi="Calibri"/>
                <w:sz w:val="22"/>
              </w:rPr>
              <w:t>N/A — no product-level guidance</w:t>
            </w:r>
          </w:p>
        </w:tc>
      </w:tr>
      <w:tr>
        <w:tc>
          <w:tcPr>
            <w:tcW w:type="dxa" w:w="1234"/>
          </w:tcPr>
          <w:p>
            <w:r>
              <w:rPr>
                <w:rFonts w:ascii="Calibri" w:hAnsi="Calibri"/>
                <w:sz w:val="22"/>
              </w:rPr>
              <w:t>CASGEVY Revenue ($M)</w:t>
            </w:r>
          </w:p>
        </w:tc>
        <w:tc>
          <w:tcPr>
            <w:tcW w:type="dxa" w:w="1234"/>
          </w:tcPr>
          <w:p>
            <w:r>
              <w:rPr>
                <w:rFonts w:ascii="Calibri" w:hAnsi="Calibri"/>
                <w:sz w:val="22"/>
              </w:rPr>
              <w:t>$43</w:t>
            </w:r>
          </w:p>
        </w:tc>
        <w:tc>
          <w:tcPr>
            <w:tcW w:type="dxa" w:w="1234"/>
          </w:tcPr>
          <w:p>
            <w:r>
              <w:rPr>
                <w:rFonts w:ascii="Calibri" w:hAnsi="Calibri"/>
                <w:sz w:val="22"/>
              </w:rPr>
              <w:t>$30</w:t>
            </w:r>
          </w:p>
        </w:tc>
        <w:tc>
          <w:tcPr>
            <w:tcW w:type="dxa" w:w="1234"/>
          </w:tcPr>
          <w:p>
            <w:r>
              <w:rPr>
                <w:rFonts w:ascii="Calibri" w:hAnsi="Calibri"/>
                <w:sz w:val="22"/>
              </w:rPr>
              <w:t>$60</w:t>
            </w:r>
          </w:p>
        </w:tc>
        <w:tc>
          <w:tcPr>
            <w:tcW w:type="dxa" w:w="1234"/>
          </w:tcPr>
          <w:p>
            <w:r>
              <w:rPr>
                <w:rFonts w:ascii="Calibri" w:hAnsi="Calibri"/>
                <w:sz w:val="22"/>
              </w:rPr>
              <w:t>+97%</w:t>
            </w:r>
          </w:p>
        </w:tc>
        <w:tc>
          <w:tcPr>
            <w:tcW w:type="dxa" w:w="1234"/>
          </w:tcPr>
          <w:p>
            <w:r>
              <w:rPr>
                <w:rFonts w:ascii="Calibri" w:hAnsi="Calibri"/>
                <w:sz w:val="22"/>
              </w:rPr>
              <w:t>Included in $500M+ non-CF (FY)</w:t>
            </w:r>
          </w:p>
        </w:tc>
        <w:tc>
          <w:tcPr>
            <w:tcW w:type="dxa" w:w="1234"/>
          </w:tcPr>
          <w:p>
            <w:r>
              <w:rPr>
                <w:rFonts w:ascii="Calibri" w:hAnsi="Calibri"/>
                <w:sz w:val="22"/>
              </w:rPr>
              <w:t>N/A — combined non-CF target</w:t>
            </w:r>
          </w:p>
        </w:tc>
      </w:tr>
      <w:tr>
        <w:tc>
          <w:tcPr>
            <w:tcW w:type="dxa" w:w="1234"/>
          </w:tcPr>
          <w:p>
            <w:r>
              <w:rPr>
                <w:rFonts w:ascii="Calibri" w:hAnsi="Calibri"/>
                <w:sz w:val="22"/>
              </w:rPr>
              <w:t>Non-GAAP Operating Income ($M)</w:t>
            </w:r>
          </w:p>
        </w:tc>
        <w:tc>
          <w:tcPr>
            <w:tcW w:type="dxa" w:w="1234"/>
          </w:tcPr>
          <w:p>
            <w:r>
              <w:rPr>
                <w:rFonts w:ascii="Calibri" w:hAnsi="Calibri"/>
                <w:sz w:val="22"/>
              </w:rPr>
              <w:t>$1,310</w:t>
            </w:r>
          </w:p>
        </w:tc>
        <w:tc>
          <w:tcPr>
            <w:tcW w:type="dxa" w:w="1234"/>
          </w:tcPr>
          <w:p>
            <w:r>
              <w:rPr>
                <w:rFonts w:ascii="Calibri" w:hAnsi="Calibri"/>
                <w:sz w:val="22"/>
              </w:rPr>
              <w:t>$1,325</w:t>
            </w:r>
          </w:p>
        </w:tc>
        <w:tc>
          <w:tcPr>
            <w:tcW w:type="dxa" w:w="1234"/>
          </w:tcPr>
          <w:p>
            <w:r>
              <w:rPr>
                <w:rFonts w:ascii="Calibri" w:hAnsi="Calibri"/>
                <w:sz w:val="22"/>
              </w:rPr>
              <w:t>$1,391</w:t>
            </w:r>
          </w:p>
        </w:tc>
        <w:tc>
          <w:tcPr>
            <w:tcW w:type="dxa" w:w="1234"/>
          </w:tcPr>
          <w:p>
            <w:r>
              <w:rPr>
                <w:rFonts w:ascii="Calibri" w:hAnsi="Calibri"/>
                <w:sz w:val="22"/>
              </w:rPr>
              <w:t>+5.0%</w:t>
            </w:r>
          </w:p>
        </w:tc>
        <w:tc>
          <w:tcPr>
            <w:tcW w:type="dxa" w:w="1234"/>
          </w:tcPr>
          <w:p>
            <w:r>
              <w:rPr>
                <w:rFonts w:ascii="Calibri" w:hAnsi="Calibri"/>
                <w:sz w:val="22"/>
              </w:rPr>
              <w:t>OpEx $5.65B–$5.75B (FY)</w:t>
            </w:r>
          </w:p>
        </w:tc>
        <w:tc>
          <w:tcPr>
            <w:tcW w:type="dxa" w:w="1234"/>
          </w:tcPr>
          <w:p>
            <w:r>
              <w:rPr>
                <w:rFonts w:ascii="Calibri" w:hAnsi="Calibri"/>
                <w:sz w:val="22"/>
              </w:rPr>
              <w:t>N/A — no quarterly OI guidance</w:t>
            </w:r>
          </w:p>
        </w:tc>
      </w:tr>
      <w:tr>
        <w:tc>
          <w:tcPr>
            <w:tcW w:type="dxa" w:w="1234"/>
          </w:tcPr>
          <w:p>
            <w:r>
              <w:rPr>
                <w:rFonts w:ascii="Calibri" w:hAnsi="Calibri"/>
                <w:sz w:val="22"/>
              </w:rPr>
              <w:t>Non-GAAP Gross Profit ($M)</w:t>
            </w:r>
          </w:p>
        </w:tc>
        <w:tc>
          <w:tcPr>
            <w:tcW w:type="dxa" w:w="1234"/>
          </w:tcPr>
          <w:p>
            <w:r>
              <w:rPr>
                <w:rFonts w:ascii="Calibri" w:hAnsi="Calibri"/>
                <w:sz w:val="22"/>
              </w:rPr>
              <w:t>$2,602</w:t>
            </w:r>
          </w:p>
        </w:tc>
        <w:tc>
          <w:tcPr>
            <w:tcW w:type="dxa" w:w="1234"/>
          </w:tcPr>
          <w:p>
            <w:r>
              <w:rPr>
                <w:rFonts w:ascii="Calibri" w:hAnsi="Calibri"/>
                <w:sz w:val="22"/>
              </w:rPr>
              <w:t>$2,565</w:t>
            </w:r>
          </w:p>
        </w:tc>
        <w:tc>
          <w:tcPr>
            <w:tcW w:type="dxa" w:w="1234"/>
          </w:tcPr>
          <w:p>
            <w:r>
              <w:rPr>
                <w:rFonts w:ascii="Calibri" w:hAnsi="Calibri"/>
                <w:sz w:val="22"/>
              </w:rPr>
              <w:t>$2,783</w:t>
            </w:r>
          </w:p>
        </w:tc>
        <w:tc>
          <w:tcPr>
            <w:tcW w:type="dxa" w:w="1234"/>
          </w:tcPr>
          <w:p>
            <w:r>
              <w:rPr>
                <w:rFonts w:ascii="Calibri" w:hAnsi="Calibri"/>
                <w:sz w:val="22"/>
              </w:rPr>
              <w:t>+8.5%</w:t>
            </w:r>
          </w:p>
        </w:tc>
        <w:tc>
          <w:tcPr>
            <w:tcW w:type="dxa" w:w="1234"/>
          </w:tcPr>
          <w:p>
            <w:r>
              <w:rPr>
                <w:rFonts w:ascii="Calibri" w:hAnsi="Calibri"/>
                <w:sz w:val="22"/>
              </w:rPr>
              <w:t>Gross margin ~86% (FY)</w:t>
            </w:r>
          </w:p>
        </w:tc>
        <w:tc>
          <w:tcPr>
            <w:tcW w:type="dxa" w:w="1234"/>
          </w:tcPr>
          <w:p>
            <w:r>
              <w:rPr>
                <w:rFonts w:ascii="Calibri" w:hAnsi="Calibri"/>
                <w:sz w:val="22"/>
              </w:rPr>
              <w:t>~86.4% implied vs. ~86% guidance</w:t>
            </w:r>
          </w:p>
        </w:tc>
      </w:tr>
    </w:tbl>
    <w:p>
      <w:r>
        <w:rPr>
          <w:rFonts w:ascii="Calibri" w:hAnsi="Calibri"/>
          <w:i/>
          <w:color w:val="525866"/>
          <w:sz w:val="22"/>
        </w:rPr>
        <w:t>Source: Visible Alpha consensus data; Q1 2026 actuals from Vertex Q1 2026 earnings release (May 4, 2026). All figures in USD millions unless noted. Non-GAAP EPS and operating metrics reflect Vertex’s adjusted (non-GAAP) reporting basis.</w:t>
      </w:r>
    </w:p>
    <w:p>
      <w:pPr>
        <w:pStyle w:val="Heading3"/>
      </w:pPr>
      <w:r>
        <w:rPr>
          <w:rFonts w:ascii="Calibri" w:hAnsi="Calibri"/>
          <w:b/>
          <w:color w:val="3B4259"/>
          <w:sz w:val="24"/>
        </w:rPr>
        <w:t>Table 2 — Beat/Miss History (Last 8 Quarters)</w:t>
      </w:r>
    </w:p>
    <w:p>
      <w:r>
        <w:rPr>
          <w:rFonts w:ascii="Calibri" w:hAnsi="Calibri"/>
          <w:b/>
          <w:i/>
          <w:color w:val="525866"/>
          <w:sz w:val="22"/>
        </w:rPr>
        <w:t>Top 2 KPIs: Total Revenue and Non-GAAP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$2,987</w:t>
            </w:r>
          </w:p>
        </w:tc>
        <w:tc>
          <w:tcPr>
            <w:tcW w:type="dxa" w:w="1440"/>
          </w:tcPr>
          <w:p>
            <w:r>
              <w:rPr>
                <w:rFonts w:ascii="Calibri" w:hAnsi="Calibri"/>
                <w:sz w:val="22"/>
              </w:rPr>
              <w:t>N/A — not in VA as-of baseline</w:t>
            </w:r>
          </w:p>
        </w:tc>
        <w:tc>
          <w:tcPr>
            <w:tcW w:type="dxa" w:w="1440"/>
          </w:tcPr>
          <w:p>
            <w:r>
              <w:rPr>
                <w:rFonts w:ascii="Calibri" w:hAnsi="Calibri"/>
                <w:sz w:val="22"/>
              </w:rPr>
              <w:t>Slight beat</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$4.47</w:t>
            </w:r>
          </w:p>
        </w:tc>
        <w:tc>
          <w:tcPr>
            <w:tcW w:type="dxa" w:w="1440"/>
          </w:tcPr>
          <w:p>
            <w:r>
              <w:rPr>
                <w:rFonts w:ascii="Calibri" w:hAnsi="Calibri"/>
                <w:sz w:val="22"/>
              </w:rPr>
              <w:t>$4.28</w:t>
            </w:r>
          </w:p>
        </w:tc>
        <w:tc>
          <w:tcPr>
            <w:tcW w:type="dxa" w:w="1440"/>
          </w:tcPr>
          <w:p>
            <w:r>
              <w:rPr>
                <w:rFonts w:ascii="Calibri" w:hAnsi="Calibri"/>
                <w:sz w:val="22"/>
              </w:rPr>
              <w:t>+4.4%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$3,190</w:t>
            </w:r>
          </w:p>
        </w:tc>
        <w:tc>
          <w:tcPr>
            <w:tcW w:type="dxa" w:w="1440"/>
          </w:tcPr>
          <w:p>
            <w:r>
              <w:rPr>
                <w:rFonts w:ascii="Calibri" w:hAnsi="Calibri"/>
                <w:sz w:val="22"/>
              </w:rPr>
              <w:t>$3,190</w:t>
            </w:r>
          </w:p>
        </w:tc>
        <w:tc>
          <w:tcPr>
            <w:tcW w:type="dxa" w:w="1440"/>
          </w:tcPr>
          <w:p>
            <w:r>
              <w:rPr>
                <w:rFonts w:ascii="Calibri" w:hAnsi="Calibri"/>
                <w:sz w:val="22"/>
              </w:rPr>
              <w:t>~0%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$5.03</w:t>
            </w:r>
          </w:p>
        </w:tc>
        <w:tc>
          <w:tcPr>
            <w:tcW w:type="dxa" w:w="1440"/>
          </w:tcPr>
          <w:p>
            <w:r>
              <w:rPr>
                <w:rFonts w:ascii="Calibri" w:hAnsi="Calibri"/>
                <w:sz w:val="22"/>
              </w:rPr>
              <w:t>$5.20</w:t>
            </w:r>
          </w:p>
        </w:tc>
        <w:tc>
          <w:tcPr>
            <w:tcW w:type="dxa" w:w="1440"/>
          </w:tcPr>
          <w:p>
            <w:r>
              <w:rPr>
                <w:rFonts w:ascii="Calibri" w:hAnsi="Calibri"/>
                <w:sz w:val="22"/>
              </w:rPr>
              <w:t>–3.3%</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$3,076</w:t>
            </w:r>
          </w:p>
        </w:tc>
        <w:tc>
          <w:tcPr>
            <w:tcW w:type="dxa" w:w="1440"/>
          </w:tcPr>
          <w:p>
            <w:r>
              <w:rPr>
                <w:rFonts w:ascii="Calibri" w:hAnsi="Calibri"/>
                <w:sz w:val="22"/>
              </w:rPr>
              <w:t>$3,056</w:t>
            </w:r>
          </w:p>
        </w:tc>
        <w:tc>
          <w:tcPr>
            <w:tcW w:type="dxa" w:w="1440"/>
          </w:tcPr>
          <w:p>
            <w:r>
              <w:rPr>
                <w:rFonts w:ascii="Calibri" w:hAnsi="Calibri"/>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$4.80</w:t>
            </w:r>
          </w:p>
        </w:tc>
        <w:tc>
          <w:tcPr>
            <w:tcW w:type="dxa" w:w="1440"/>
          </w:tcPr>
          <w:p>
            <w:r>
              <w:rPr>
                <w:rFonts w:ascii="Calibri" w:hAnsi="Calibri"/>
                <w:sz w:val="22"/>
              </w:rPr>
              <w:t>$4.59</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$2,965</w:t>
            </w:r>
          </w:p>
        </w:tc>
        <w:tc>
          <w:tcPr>
            <w:tcW w:type="dxa" w:w="1440"/>
          </w:tcPr>
          <w:p>
            <w:r>
              <w:rPr>
                <w:rFonts w:ascii="Calibri" w:hAnsi="Calibri"/>
                <w:sz w:val="22"/>
              </w:rPr>
              <w:t>$2,905</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$4.52</w:t>
            </w:r>
          </w:p>
        </w:tc>
        <w:tc>
          <w:tcPr>
            <w:tcW w:type="dxa" w:w="1440"/>
          </w:tcPr>
          <w:p>
            <w:r>
              <w:rPr>
                <w:rFonts w:ascii="Calibri" w:hAnsi="Calibri"/>
                <w:sz w:val="22"/>
              </w:rPr>
              <w:t>$4.24</w:t>
            </w:r>
          </w:p>
        </w:tc>
        <w:tc>
          <w:tcPr>
            <w:tcW w:type="dxa" w:w="1440"/>
          </w:tcPr>
          <w:p>
            <w:r>
              <w:rPr>
                <w:rFonts w:ascii="Calibri" w:hAnsi="Calibri"/>
                <w:sz w:val="22"/>
              </w:rPr>
              <w:t>+6.6%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~$2,770 (est.)</w:t>
            </w:r>
          </w:p>
        </w:tc>
        <w:tc>
          <w:tcPr>
            <w:tcW w:type="dxa" w:w="1440"/>
          </w:tcPr>
          <w:p>
            <w:r>
              <w:rPr>
                <w:rFonts w:ascii="Calibri" w:hAnsi="Calibri"/>
                <w:sz w:val="22"/>
              </w:rPr>
              <w:t>N/A — not in VA window</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N/A — outside 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VRTX has beaten revenue consensus in 4 of the last 5 reported quarters with a consistent EPS beat track record (5 of 6 quarters), driven by disciplined expense management. The Q4 2025 EPS miss was an outlier tied to higher-than-expected OpEx from new launch investments. The pattern strongly favors a beat on both metrics in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2026 guidance is unchanged since the Q1 2026 earnings call — revenue $12.95B–$13.1B, OpEx $5.65B–$5.75B, gross margin ~86%, tax rate 19.5%–20.5%. The only post-earnings development with guidance implications is the </w:t>
      </w:r>
      <w:r>
        <w:rPr>
          <w:rFonts w:ascii="Calibri" w:hAnsi="Calibri"/>
          <w:b/>
          <w:color w:val="002FA7"/>
          <w:sz w:val="22"/>
        </w:rPr>
        <w:t>Crinetics acquisition (July 6, 2026)</w:t>
      </w:r>
      <w:r>
        <w:rPr>
          <w:rFonts w:ascii="Calibri" w:hAnsi="Calibri"/>
          <w:b/>
          <w:color w:val="525866"/>
          <w:sz w:val="22"/>
        </w:rPr>
        <w:t>, which management flagged will have a “modest impact” to 2026 revenue and non-GAAP OpEx given the expected Q3 close — formal guidance update expected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$12.95B – $13.10B (+8%–9% YoY)</w:t>
            </w:r>
          </w:p>
        </w:tc>
        <w:tc>
          <w:tcPr>
            <w:tcW w:type="dxa" w:w="1728"/>
          </w:tcPr>
          <w:p>
            <w:r>
              <w:rPr>
                <w:rFonts w:ascii="Calibri" w:hAnsi="Calibri"/>
                <w:sz w:val="22"/>
              </w:rPr>
              <w:t>—</w:t>
            </w:r>
          </w:p>
        </w:tc>
        <w:tc>
          <w:tcPr>
            <w:tcW w:type="dxa" w:w="1728"/>
          </w:tcPr>
          <w:p>
            <w:r>
              <w:rPr>
                <w:rFonts w:ascii="Calibri" w:hAnsi="Calibri"/>
                <w:sz w:val="22"/>
              </w:rPr>
              <w:t>$13.05B</w:t>
            </w:r>
          </w:p>
        </w:tc>
        <w:tc>
          <w:tcPr>
            <w:tcW w:type="dxa" w:w="1728"/>
          </w:tcPr>
          <w:p>
            <w:r>
              <w:rPr>
                <w:rFonts w:ascii="Calibri" w:hAnsi="Calibri"/>
                <w:sz w:val="22"/>
              </w:rPr>
              <w:t>Unchanged; Crinetics close (Q3 2026) expected to add modest incremental revenue — formal update pending Q2 call</w:t>
            </w:r>
          </w:p>
        </w:tc>
      </w:tr>
      <w:tr>
        <w:tc>
          <w:tcPr>
            <w:tcW w:type="dxa" w:w="1728"/>
          </w:tcPr>
          <w:p>
            <w:r>
              <w:rPr>
                <w:rFonts w:ascii="Calibri" w:hAnsi="Calibri"/>
                <w:sz w:val="22"/>
              </w:rPr>
              <w:t>Non-CF Products Revenue (FY 2026)</w:t>
            </w:r>
          </w:p>
        </w:tc>
        <w:tc>
          <w:tcPr>
            <w:tcW w:type="dxa" w:w="1728"/>
          </w:tcPr>
          <w:p>
            <w:r>
              <w:rPr>
                <w:rFonts w:ascii="Calibri" w:hAnsi="Calibri"/>
                <w:sz w:val="22"/>
              </w:rPr>
              <w:t>$500M+ combined (JOURNAVX + CASGEVY)</w:t>
            </w:r>
          </w:p>
        </w:tc>
        <w:tc>
          <w:tcPr>
            <w:tcW w:type="dxa" w:w="1728"/>
          </w:tcPr>
          <w:p>
            <w:r>
              <w:rPr>
                <w:rFonts w:ascii="Calibri" w:hAnsi="Calibri"/>
                <w:sz w:val="22"/>
              </w:rPr>
              <w:t>—</w:t>
            </w:r>
          </w:p>
        </w:tc>
        <w:tc>
          <w:tcPr>
            <w:tcW w:type="dxa" w:w="1728"/>
          </w:tcPr>
          <w:p>
            <w:r>
              <w:rPr>
                <w:rFonts w:ascii="Calibri" w:hAnsi="Calibri"/>
                <w:sz w:val="22"/>
              </w:rPr>
              <w:t>~$240M JOURNAVX + ~$253M CASGEVY = ~$493M (VA FY consensus)</w:t>
            </w:r>
          </w:p>
        </w:tc>
        <w:tc>
          <w:tcPr>
            <w:tcW w:type="dxa" w:w="1728"/>
          </w:tcPr>
          <w:p>
            <w:r>
              <w:rPr>
                <w:rFonts w:ascii="Calibri" w:hAnsi="Calibri"/>
                <w:sz w:val="22"/>
              </w:rPr>
              <w:t>Consensus tracking just below $500M target; Q2 JOURNAVX ramp is key to hitting the threshold</w:t>
            </w:r>
          </w:p>
        </w:tc>
      </w:tr>
      <w:tr>
        <w:tc>
          <w:tcPr>
            <w:tcW w:type="dxa" w:w="1728"/>
          </w:tcPr>
          <w:p>
            <w:r>
              <w:rPr>
                <w:rFonts w:ascii="Calibri" w:hAnsi="Calibri"/>
                <w:sz w:val="22"/>
              </w:rPr>
              <w:t>Non-GAAP Combined OpEx (FY 2026)</w:t>
            </w:r>
          </w:p>
        </w:tc>
        <w:tc>
          <w:tcPr>
            <w:tcW w:type="dxa" w:w="1728"/>
          </w:tcPr>
          <w:p>
            <w:r>
              <w:rPr>
                <w:rFonts w:ascii="Calibri" w:hAnsi="Calibri"/>
                <w:sz w:val="22"/>
              </w:rPr>
              <w:t>$5.65B – $5.75B</w:t>
            </w:r>
          </w:p>
        </w:tc>
        <w:tc>
          <w:tcPr>
            <w:tcW w:type="dxa" w:w="1728"/>
          </w:tcPr>
          <w:p>
            <w:r>
              <w:rPr>
                <w:rFonts w:ascii="Calibri" w:hAnsi="Calibri"/>
                <w:sz w:val="22"/>
              </w:rPr>
              <w:t>—</w:t>
            </w:r>
          </w:p>
        </w:tc>
        <w:tc>
          <w:tcPr>
            <w:tcW w:type="dxa" w:w="1728"/>
          </w:tcPr>
          <w:p>
            <w:r>
              <w:rPr>
                <w:rFonts w:ascii="Calibri" w:hAnsi="Calibri"/>
                <w:sz w:val="22"/>
              </w:rPr>
              <w:t>~$5.63B (VA FY consensus R&amp;D + SG&amp;A)</w:t>
            </w:r>
          </w:p>
        </w:tc>
        <w:tc>
          <w:tcPr>
            <w:tcW w:type="dxa" w:w="1728"/>
          </w:tcPr>
          <w:p>
            <w:r>
              <w:rPr>
                <w:rFonts w:ascii="Calibri" w:hAnsi="Calibri"/>
                <w:sz w:val="22"/>
              </w:rPr>
              <w:t>Unchanged; Crinetics integration costs may require upward revision at Q2 call</w:t>
            </w:r>
          </w:p>
        </w:tc>
      </w:tr>
      <w:tr>
        <w:tc>
          <w:tcPr>
            <w:tcW w:type="dxa" w:w="1728"/>
          </w:tcPr>
          <w:p>
            <w:r>
              <w:rPr>
                <w:rFonts w:ascii="Calibri" w:hAnsi="Calibri"/>
                <w:sz w:val="22"/>
              </w:rPr>
              <w:t>Non-GAAP Gross Margin (FY 2026)</w:t>
            </w:r>
          </w:p>
        </w:tc>
        <w:tc>
          <w:tcPr>
            <w:tcW w:type="dxa" w:w="1728"/>
          </w:tcPr>
          <w:p>
            <w:r>
              <w:rPr>
                <w:rFonts w:ascii="Calibri" w:hAnsi="Calibri"/>
                <w:sz w:val="22"/>
              </w:rPr>
              <w:t>~86% (just under)</w:t>
            </w:r>
          </w:p>
        </w:tc>
        <w:tc>
          <w:tcPr>
            <w:tcW w:type="dxa" w:w="1728"/>
          </w:tcPr>
          <w:p>
            <w:r>
              <w:rPr>
                <w:rFonts w:ascii="Calibri" w:hAnsi="Calibri"/>
                <w:sz w:val="22"/>
              </w:rPr>
              <w:t>—</w:t>
            </w:r>
          </w:p>
        </w:tc>
        <w:tc>
          <w:tcPr>
            <w:tcW w:type="dxa" w:w="1728"/>
          </w:tcPr>
          <w:p>
            <w:r>
              <w:rPr>
                <w:rFonts w:ascii="Calibri" w:hAnsi="Calibri"/>
                <w:sz w:val="22"/>
              </w:rPr>
              <w:t>~86.4% (VA FY consensus)</w:t>
            </w:r>
          </w:p>
        </w:tc>
        <w:tc>
          <w:tcPr>
            <w:tcW w:type="dxa" w:w="1728"/>
          </w:tcPr>
          <w:p>
            <w:r>
              <w:rPr>
                <w:rFonts w:ascii="Calibri" w:hAnsi="Calibri"/>
                <w:sz w:val="22"/>
              </w:rPr>
              <w:t>Unchanged; non-CF mix headwind from JOURNAVX/CASGEVY ramp partially offset by CF franchise scale</w:t>
            </w:r>
          </w:p>
        </w:tc>
      </w:tr>
      <w:tr>
        <w:tc>
          <w:tcPr>
            <w:tcW w:type="dxa" w:w="1728"/>
          </w:tcPr>
          <w:p>
            <w:r>
              <w:rPr>
                <w:rFonts w:ascii="Calibri" w:hAnsi="Calibri"/>
                <w:sz w:val="22"/>
              </w:rPr>
              <w:t>Non-GAAP Effective Tax Rate (FY 2026)</w:t>
            </w:r>
          </w:p>
        </w:tc>
        <w:tc>
          <w:tcPr>
            <w:tcW w:type="dxa" w:w="1728"/>
          </w:tcPr>
          <w:p>
            <w:r>
              <w:rPr>
                <w:rFonts w:ascii="Calibri" w:hAnsi="Calibri"/>
                <w:sz w:val="22"/>
              </w:rPr>
              <w:t>19.5% – 20.5%</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management expressed no concern on tariff or MFN pricing impact</w:t>
            </w:r>
          </w:p>
        </w:tc>
      </w:tr>
      <w:tr>
        <w:tc>
          <w:tcPr>
            <w:tcW w:type="dxa" w:w="1728"/>
          </w:tcPr>
          <w:p>
            <w:r>
              <w:rPr>
                <w:rFonts w:ascii="Calibri" w:hAnsi="Calibri"/>
                <w:sz w:val="22"/>
              </w:rPr>
              <w:t>JOURNAVX Prescription Growth (FY 2026)</w:t>
            </w:r>
          </w:p>
        </w:tc>
        <w:tc>
          <w:tcPr>
            <w:tcW w:type="dxa" w:w="1728"/>
          </w:tcPr>
          <w:p>
            <w:r>
              <w:rPr>
                <w:rFonts w:ascii="Calibri" w:hAnsi="Calibri"/>
                <w:sz w:val="22"/>
              </w:rPr>
              <w:t>Triple 2025 Rx volume (~1.65M Rx); revenue growth to significantly exceed Rx growth</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Q2 is the first quarter where gross-to-net normalization should be visible in revenue</w:t>
            </w:r>
          </w:p>
        </w:tc>
      </w:tr>
      <w:tr>
        <w:tc>
          <w:tcPr>
            <w:tcW w:type="dxa" w:w="1728"/>
          </w:tcPr>
          <w:p>
            <w:r>
              <w:rPr>
                <w:rFonts w:ascii="Calibri" w:hAnsi="Calibri"/>
                <w:sz w:val="22"/>
              </w:rPr>
              <w:t>Crinetics Acquisition Impact (FY 2026)</w:t>
            </w:r>
          </w:p>
        </w:tc>
        <w:tc>
          <w:tcPr>
            <w:tcW w:type="dxa" w:w="1728"/>
          </w:tcPr>
          <w:p>
            <w:r>
              <w:rPr>
                <w:rFonts w:ascii="Calibri" w:hAnsi="Calibri"/>
                <w:sz w:val="22"/>
              </w:rPr>
              <w:t>N/A — announced post-Q1 earnings</w:t>
            </w:r>
          </w:p>
        </w:tc>
        <w:tc>
          <w:tcPr>
            <w:tcW w:type="dxa" w:w="1728"/>
          </w:tcPr>
          <w:p>
            <w:r>
              <w:rPr>
                <w:rFonts w:ascii="Calibri" w:hAnsi="Calibri"/>
                <w:sz w:val="22"/>
              </w:rPr>
              <w:t>Modest revenue and OpEx impact in 2026 (Q3 close); accretive to non-GAAP operating income in 2029</w:t>
            </w:r>
          </w:p>
        </w:tc>
        <w:tc>
          <w:tcPr>
            <w:tcW w:type="dxa" w:w="1728"/>
          </w:tcPr>
          <w:p>
            <w:r>
              <w:rPr>
                <w:rFonts w:ascii="Calibri" w:hAnsi="Calibri"/>
                <w:sz w:val="22"/>
              </w:rPr>
              <w:t>N/A — not yet in consensus</w:t>
            </w:r>
          </w:p>
        </w:tc>
        <w:tc>
          <w:tcPr>
            <w:tcW w:type="dxa" w:w="1728"/>
          </w:tcPr>
          <w:p>
            <w:r>
              <w:rPr>
                <w:rFonts w:ascii="Calibri" w:hAnsi="Calibri"/>
                <w:sz w:val="22"/>
              </w:rPr>
              <w:t>↑ New guidance item; $10B all-cash deal ($8.8B net of cash); $4.5B bridge financing; formal 2026 guidance update expected at Q2 call</w:t>
            </w:r>
          </w:p>
        </w:tc>
      </w:tr>
    </w:tbl>
    <w:p>
      <w:r>
        <w:rPr>
          <w:rFonts w:ascii="Calibri" w:hAnsi="Calibri"/>
          <w:i/>
          <w:color w:val="525866"/>
          <w:sz w:val="22"/>
        </w:rPr>
        <w:t>Source: Vertex Q1 2026 Earnings Call transcript (May 4, 2026); Vertex Crinetics acquisition press release and 8-K (July 6,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broadly stable since the Q1 2026 print — Q2 2026 revenue consensus is essentially flat vs. the post-Q1 baseline, while FY 2026 revenue consensus is marginally lower, reflecting tempered JOURNAVX gross-to-net assumptions. </w:t>
      </w:r>
      <w:r>
        <w:rPr>
          <w:rFonts w:ascii="Calibri" w:hAnsi="Calibri"/>
          <w:color w:val="525866"/>
          <w:sz w:val="22"/>
        </w:rPr>
        <w:t>The gap between consensus and guidance is narrow, suggesting the Street is tracking management’s framework closely with no meaningful divergence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$3,206M</w:t>
            </w:r>
          </w:p>
        </w:tc>
        <w:tc>
          <w:tcPr>
            <w:tcW w:type="dxa" w:w="1080"/>
          </w:tcPr>
          <w:p>
            <w:r>
              <w:rPr>
                <w:rFonts w:ascii="Calibri" w:hAnsi="Calibri"/>
                <w:sz w:val="22"/>
              </w:rPr>
              <w:t>$3,221M</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$13,041M</w:t>
            </w:r>
          </w:p>
        </w:tc>
        <w:tc>
          <w:tcPr>
            <w:tcW w:type="dxa" w:w="1080"/>
          </w:tcPr>
          <w:p>
            <w:r>
              <w:rPr>
                <w:rFonts w:ascii="Calibri" w:hAnsi="Calibri"/>
                <w:sz w:val="22"/>
              </w:rPr>
              <w:t>$13,053M</w:t>
            </w:r>
          </w:p>
        </w:tc>
        <w:tc>
          <w:tcPr>
            <w:tcW w:type="dxa" w:w="1080"/>
          </w:tcPr>
          <w:p>
            <w:r>
              <w:rPr>
                <w:rFonts w:ascii="Calibri" w:hAnsi="Calibri"/>
                <w:sz w:val="22"/>
              </w:rPr>
              <w:t>+0.1%</w:t>
            </w:r>
          </w:p>
        </w:tc>
        <w:tc>
          <w:tcPr>
            <w:tcW w:type="dxa" w:w="1080"/>
          </w:tcPr>
          <w:p>
            <w:r>
              <w:rPr>
                <w:rFonts w:ascii="Calibri" w:hAnsi="Calibri"/>
                <w:sz w:val="22"/>
              </w:rPr>
              <w:t>$12,950–$13,100M</w:t>
            </w:r>
          </w:p>
        </w:tc>
        <w:tc>
          <w:tcPr>
            <w:tcW w:type="dxa" w:w="1080"/>
          </w:tcPr>
          <w:p>
            <w:r>
              <w:rPr>
                <w:rFonts w:ascii="Calibri" w:hAnsi="Calibri"/>
                <w:sz w:val="22"/>
              </w:rPr>
              <w:t>$12,950–$13,100M (unchanged)</w:t>
            </w:r>
          </w:p>
        </w:tc>
        <w:tc>
          <w:tcPr>
            <w:tcW w:type="dxa" w:w="1080"/>
          </w:tcPr>
          <w:p>
            <w:r>
              <w:rPr>
                <w:rFonts w:ascii="Calibri" w:hAnsi="Calibri"/>
                <w:sz w:val="22"/>
              </w:rPr>
              <w:t>Unchanged</w:t>
            </w:r>
          </w:p>
        </w:tc>
        <w:tc>
          <w:tcPr>
            <w:tcW w:type="dxa" w:w="1080"/>
          </w:tcPr>
          <w:p>
            <w:r>
              <w:rPr>
                <w:rFonts w:ascii="Calibri" w:hAnsi="Calibri"/>
                <w:sz w:val="22"/>
              </w:rPr>
              <w:t>+0.2% vs. midpoint ($13,025M)</w:t>
            </w:r>
          </w:p>
        </w:tc>
      </w:tr>
      <w:tr>
        <w:tc>
          <w:tcPr>
            <w:tcW w:type="dxa" w:w="1080"/>
          </w:tcPr>
          <w:p>
            <w:r>
              <w:rPr>
                <w:rFonts w:ascii="Calibri" w:hAnsi="Calibri"/>
                <w:sz w:val="22"/>
              </w:rPr>
              <w:t>Non-GAAP EPS — Q2 2026</w:t>
            </w:r>
          </w:p>
        </w:tc>
        <w:tc>
          <w:tcPr>
            <w:tcW w:type="dxa" w:w="1080"/>
          </w:tcPr>
          <w:p>
            <w:r>
              <w:rPr>
                <w:rFonts w:ascii="Calibri" w:hAnsi="Calibri"/>
                <w:sz w:val="22"/>
              </w:rPr>
              <w:t>$4.69</w:t>
            </w:r>
          </w:p>
        </w:tc>
        <w:tc>
          <w:tcPr>
            <w:tcW w:type="dxa" w:w="1080"/>
          </w:tcPr>
          <w:p>
            <w:r>
              <w:rPr>
                <w:rFonts w:ascii="Calibri" w:hAnsi="Calibri"/>
                <w:sz w:val="22"/>
              </w:rPr>
              <w:t>$4.72</w:t>
            </w:r>
          </w:p>
        </w:tc>
        <w:tc>
          <w:tcPr>
            <w:tcW w:type="dxa" w:w="1080"/>
          </w:tcPr>
          <w:p>
            <w:r>
              <w:rPr>
                <w:rFonts w:ascii="Calibri" w:hAnsi="Calibri"/>
                <w:sz w:val="22"/>
              </w:rPr>
              <w:t>+0.6%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$19.08</w:t>
            </w:r>
          </w:p>
        </w:tc>
        <w:tc>
          <w:tcPr>
            <w:tcW w:type="dxa" w:w="1080"/>
          </w:tcPr>
          <w:p>
            <w:r>
              <w:rPr>
                <w:rFonts w:ascii="Calibri" w:hAnsi="Calibri"/>
                <w:sz w:val="22"/>
              </w:rPr>
              <w:t>$18.23</w:t>
            </w:r>
          </w:p>
        </w:tc>
        <w:tc>
          <w:tcPr>
            <w:tcW w:type="dxa" w:w="1080"/>
          </w:tcPr>
          <w:p>
            <w:r>
              <w:rPr>
                <w:rFonts w:ascii="Calibri" w:hAnsi="Calibri"/>
                <w:sz w:val="22"/>
              </w:rPr>
              <w:t>–4.5%</w:t>
            </w:r>
          </w:p>
        </w:tc>
        <w:tc>
          <w:tcPr>
            <w:tcW w:type="dxa" w:w="1080"/>
          </w:tcPr>
          <w:p>
            <w:r>
              <w:rPr>
                <w:rFonts w:ascii="Calibri" w:hAnsi="Calibri"/>
                <w:sz w:val="22"/>
              </w:rPr>
              <w:t>Tax rate 19.5%–20.5%; OpEx $5.65B–$5.75B</w:t>
            </w:r>
          </w:p>
        </w:tc>
        <w:tc>
          <w:tcPr>
            <w:tcW w:type="dxa" w:w="1080"/>
          </w:tcPr>
          <w:p>
            <w:r>
              <w:rPr>
                <w:rFonts w:ascii="Calibri" w:hAnsi="Calibri"/>
                <w:sz w:val="22"/>
              </w:rPr>
              <w:t>Unchanged (pre-Crinetics)</w:t>
            </w:r>
          </w:p>
        </w:tc>
        <w:tc>
          <w:tcPr>
            <w:tcW w:type="dxa" w:w="1080"/>
          </w:tcPr>
          <w:p>
            <w:r>
              <w:rPr>
                <w:rFonts w:ascii="Calibri" w:hAnsi="Calibri"/>
                <w:sz w:val="22"/>
              </w:rPr>
              <w:t>Unchanged</w:t>
            </w:r>
          </w:p>
        </w:tc>
        <w:tc>
          <w:tcPr>
            <w:tcW w:type="dxa" w:w="1080"/>
          </w:tcPr>
          <w:p>
            <w:r>
              <w:rPr>
                <w:rFonts w:ascii="Calibri" w:hAnsi="Calibri"/>
                <w:sz w:val="22"/>
              </w:rPr>
              <w:t>N/A — no EPS guidance</w:t>
            </w:r>
          </w:p>
        </w:tc>
      </w:tr>
      <w:tr>
        <w:tc>
          <w:tcPr>
            <w:tcW w:type="dxa" w:w="1080"/>
          </w:tcPr>
          <w:p>
            <w:r>
              <w:rPr>
                <w:rFonts w:ascii="Calibri" w:hAnsi="Calibri"/>
                <w:sz w:val="22"/>
              </w:rPr>
              <w:t>JOURNAVX Revenue — Q2 2026</w:t>
            </w:r>
          </w:p>
        </w:tc>
        <w:tc>
          <w:tcPr>
            <w:tcW w:type="dxa" w:w="1080"/>
          </w:tcPr>
          <w:p>
            <w:r>
              <w:rPr>
                <w:rFonts w:ascii="Calibri" w:hAnsi="Calibri"/>
                <w:sz w:val="22"/>
              </w:rPr>
              <w:t>$48.7M</w:t>
            </w:r>
          </w:p>
        </w:tc>
        <w:tc>
          <w:tcPr>
            <w:tcW w:type="dxa" w:w="1080"/>
          </w:tcPr>
          <w:p>
            <w:r>
              <w:rPr>
                <w:rFonts w:ascii="Calibri" w:hAnsi="Calibri"/>
                <w:sz w:val="22"/>
              </w:rPr>
              <w:t>$49.1M</w:t>
            </w:r>
          </w:p>
        </w:tc>
        <w:tc>
          <w:tcPr>
            <w:tcW w:type="dxa" w:w="1080"/>
          </w:tcPr>
          <w:p>
            <w:r>
              <w:rPr>
                <w:rFonts w:ascii="Calibri" w:hAnsi="Calibri"/>
                <w:sz w:val="22"/>
              </w:rPr>
              <w:t>+0.8%</w:t>
            </w:r>
          </w:p>
        </w:tc>
        <w:tc>
          <w:tcPr>
            <w:tcW w:type="dxa" w:w="1080"/>
          </w:tcPr>
          <w:p>
            <w:r>
              <w:rPr>
                <w:rFonts w:ascii="Calibri" w:hAnsi="Calibri"/>
                <w:sz w:val="22"/>
              </w:rPr>
              <w:t>No quarterly guidance; FY $500M+ non-CF combined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 — combined target</w:t>
            </w:r>
          </w:p>
        </w:tc>
      </w:tr>
      <w:tr>
        <w:tc>
          <w:tcPr>
            <w:tcW w:type="dxa" w:w="1080"/>
          </w:tcPr>
          <w:p>
            <w:r>
              <w:rPr>
                <w:rFonts w:ascii="Calibri" w:hAnsi="Calibri"/>
                <w:sz w:val="22"/>
              </w:rPr>
              <w:t>JOURNAVX Revenue — FY 2026</w:t>
            </w:r>
          </w:p>
        </w:tc>
        <w:tc>
          <w:tcPr>
            <w:tcW w:type="dxa" w:w="1080"/>
          </w:tcPr>
          <w:p>
            <w:r>
              <w:rPr>
                <w:rFonts w:ascii="Calibri" w:hAnsi="Calibri"/>
                <w:sz w:val="22"/>
              </w:rPr>
              <w:t>$240.5M</w:t>
            </w:r>
          </w:p>
        </w:tc>
        <w:tc>
          <w:tcPr>
            <w:tcW w:type="dxa" w:w="1080"/>
          </w:tcPr>
          <w:p>
            <w:r>
              <w:rPr>
                <w:rFonts w:ascii="Calibri" w:hAnsi="Calibri"/>
                <w:sz w:val="22"/>
              </w:rPr>
              <w:t>$239.8M</w:t>
            </w:r>
          </w:p>
        </w:tc>
        <w:tc>
          <w:tcPr>
            <w:tcW w:type="dxa" w:w="1080"/>
          </w:tcPr>
          <w:p>
            <w:r>
              <w:rPr>
                <w:rFonts w:ascii="Calibri" w:hAnsi="Calibri"/>
                <w:sz w:val="22"/>
              </w:rPr>
              <w:t>–0.3%</w:t>
            </w:r>
          </w:p>
        </w:tc>
        <w:tc>
          <w:tcPr>
            <w:tcW w:type="dxa" w:w="1080"/>
          </w:tcPr>
          <w:p>
            <w:r>
              <w:rPr>
                <w:rFonts w:ascii="Calibri" w:hAnsi="Calibri"/>
                <w:sz w:val="22"/>
              </w:rPr>
              <w:t>Part of $500M+ non-CF combined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 — combined target</w:t>
            </w:r>
          </w:p>
        </w:tc>
      </w:tr>
    </w:tbl>
    <w:p>
      <w:r>
        <w:rPr>
          <w:rFonts w:ascii="Calibri" w:hAnsi="Calibri"/>
          <w:b/>
          <w:color w:val="525866"/>
          <w:sz w:val="22"/>
        </w:rPr>
        <w:t xml:space="preserve">Note: </w:t>
      </w:r>
      <w:r>
        <w:rPr>
          <w:rFonts w:ascii="Calibri" w:hAnsi="Calibri"/>
          <w:color w:val="525866"/>
          <w:sz w:val="22"/>
        </w:rPr>
        <w:t>The FY 2026 non-GAAP EPS estimate has drifted ~4.5% lower since the Q1 print, likely reflecting the Street beginning to model Crinetics-related dilution (deal announced July 6, 2026) and incremental OpEx from the doubled JOURNAVX sales force. This is the one area where estimates are diverging from guidance, though management has not yet updated formal EPS guidance to reflect the acquisition.</w:t>
      </w:r>
    </w:p>
    <w:p>
      <w:r>
        <w:rPr>
          <w:rFonts w:ascii="Calibri" w:hAnsi="Calibri"/>
          <w:i/>
          <w:color w:val="525866"/>
          <w:sz w:val="22"/>
        </w:rPr>
        <w:t>Source: Visible Alpha consensus data (as-of date May 9, 2026 and current). Guidance from Vertex Q1 2026 Earnings Call (May 4, 2026) and Crinetics acquisition press release (July 6,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VRTX has outperformed both XBI (+10%) and the S&amp;P 500 (+4%) since Q1 earnings, gaining ~11% on an indexed basis — but the outperformance is almost entirely attributable to the </w:t>
      </w:r>
      <w:r>
        <w:rPr>
          <w:rFonts w:ascii="Calibri" w:hAnsi="Calibri"/>
          <w:b/>
          <w:color w:val="002FA7"/>
          <w:sz w:val="22"/>
        </w:rPr>
        <w:t>Crinetics acquisition announcement on July 2, 2026</w:t>
      </w:r>
      <w:r>
        <w:rPr>
          <w:rFonts w:ascii="Calibri" w:hAnsi="Calibri"/>
          <w:b/>
          <w:color w:val="525866"/>
          <w:sz w:val="22"/>
        </w:rPr>
        <w:t>, which drove a ~23% spike before partially retracing as investors digested the $10B price tag and 2029 accretion timeline. Underlying CF and JOURNAVX fundamentals have not been the primary driver.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VRTX vs. XBI (Biotech ETF) vs. S&amp;P 500 (SPY) — Indexed to 100 at Q1 2026 Earnings Date (May 4, 2026). Vertical dashed line marks Crinetics acquisition announcement (July 2, 2026). Source: Stock Price Data.</w:t>
      </w:r>
    </w:p>
    <w:p>
      <w:r>
        <w:rPr>
          <w:rFonts w:ascii="Calibri" w:hAnsi="Calibri"/>
          <w:b/>
          <w:color w:val="525866"/>
          <w:sz w:val="22"/>
        </w:rPr>
        <w:t>Performance Summary (May 4 – August 3, 2026):</w:t>
      </w:r>
    </w:p>
    <w:p>
      <w:pPr>
        <w:pStyle w:val="ListBullet"/>
        <w:ind w:left="360" w:hanging="360"/>
      </w:pPr>
      <w:r>
        <w:rPr>
          <w:rFonts w:ascii="Calibri" w:hAnsi="Calibri"/>
          <w:b/>
          <w:color w:val="525866"/>
          <w:sz w:val="22"/>
        </w:rPr>
        <w:t xml:space="preserve">VRTX: </w:t>
      </w:r>
      <w:r>
        <w:rPr>
          <w:rFonts w:ascii="Calibri" w:hAnsi="Calibri"/>
          <w:color w:val="525866"/>
          <w:sz w:val="22"/>
        </w:rPr>
        <w:t>+11.0% (from $429.85 to $477.10)</w:t>
      </w:r>
    </w:p>
    <w:p>
      <w:pPr>
        <w:pStyle w:val="ListBullet"/>
        <w:ind w:left="360" w:hanging="360"/>
      </w:pPr>
      <w:r>
        <w:rPr>
          <w:rFonts w:ascii="Calibri" w:hAnsi="Calibri"/>
          <w:b/>
          <w:color w:val="525866"/>
          <w:sz w:val="22"/>
        </w:rPr>
        <w:t xml:space="preserve">XBI (Biotech ETF): </w:t>
      </w:r>
      <w:r>
        <w:rPr>
          <w:rFonts w:ascii="Calibri" w:hAnsi="Calibri"/>
          <w:color w:val="525866"/>
          <w:sz w:val="22"/>
        </w:rPr>
        <w:t>+10.1% (from $133.50 to $147.01)</w:t>
      </w:r>
    </w:p>
    <w:p>
      <w:pPr>
        <w:pStyle w:val="ListBullet"/>
        <w:ind w:left="360" w:hanging="360"/>
      </w:pPr>
      <w:r>
        <w:rPr>
          <w:rFonts w:ascii="Calibri" w:hAnsi="Calibri"/>
          <w:b/>
          <w:color w:val="525866"/>
          <w:sz w:val="22"/>
        </w:rPr>
        <w:t xml:space="preserve">S&amp;P 500 (SPY): </w:t>
      </w:r>
      <w:r>
        <w:rPr>
          <w:rFonts w:ascii="Calibri" w:hAnsi="Calibri"/>
          <w:color w:val="525866"/>
          <w:sz w:val="22"/>
        </w:rPr>
        <w:t>+4.0% (from $718.01 to $747.03)</w:t>
      </w:r>
    </w:p>
    <w:p>
      <w:pPr>
        <w:pStyle w:val="ListBullet"/>
        <w:ind w:left="360" w:hanging="360"/>
      </w:pPr>
      <w:r>
        <w:rPr>
          <w:rFonts w:ascii="Calibri" w:hAnsi="Calibri"/>
          <w:b/>
          <w:color w:val="525866"/>
          <w:sz w:val="22"/>
        </w:rPr>
        <w:t xml:space="preserve">VRTX Peak: </w:t>
      </w:r>
      <w:r>
        <w:rPr>
          <w:rFonts w:ascii="Calibri" w:hAnsi="Calibri"/>
          <w:color w:val="525866"/>
          <w:sz w:val="22"/>
        </w:rPr>
        <w:t>$529.59 on July 6, 2026 (+23.2% from base) — driven by Crinetics acquisition announcement</w:t>
      </w:r>
    </w:p>
    <w:p>
      <w:pPr>
        <w:pStyle w:val="ListBullet"/>
        <w:ind w:left="360" w:hanging="360"/>
      </w:pPr>
      <w:r>
        <w:rPr>
          <w:rFonts w:ascii="Calibri" w:hAnsi="Calibri"/>
          <w:b/>
          <w:color w:val="525866"/>
          <w:sz w:val="22"/>
        </w:rPr>
        <w:t xml:space="preserve">Post-Crinetics Retrace: </w:t>
      </w:r>
      <w:r>
        <w:rPr>
          <w:rFonts w:ascii="Calibri" w:hAnsi="Calibri"/>
          <w:color w:val="525866"/>
          <w:sz w:val="22"/>
        </w:rPr>
        <w:t>Stock gave back ~10% from peak as investors weighed $10B price tag, 2029 accretion timeline, and $4.5B bridge financing</w:t>
      </w:r>
    </w:p>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May 4, 2026: </w:t>
      </w:r>
      <w:r>
        <w:rPr>
          <w:rFonts w:ascii="Calibri" w:hAnsi="Calibri"/>
          <w:color w:val="525866"/>
          <w:sz w:val="22"/>
        </w:rPr>
        <w:t>Q1 2026 earnings — slight revenue beat, meaningful EPS beat; stock rose modestly</w:t>
      </w:r>
    </w:p>
    <w:p>
      <w:pPr>
        <w:pStyle w:val="ListBullet"/>
        <w:ind w:left="360" w:hanging="360"/>
      </w:pPr>
      <w:r>
        <w:rPr>
          <w:rFonts w:ascii="Calibri" w:hAnsi="Calibri"/>
          <w:b/>
          <w:color w:val="525866"/>
          <w:sz w:val="22"/>
        </w:rPr>
        <w:t xml:space="preserve">June 1, 2026: </w:t>
      </w:r>
      <w:r>
        <w:rPr>
          <w:rFonts w:ascii="Calibri" w:hAnsi="Calibri"/>
          <w:color w:val="525866"/>
          <w:sz w:val="22"/>
        </w:rPr>
        <w:t>FDA accepted povetacicept BLA with PDUFA date November 30, 2026 (accelerated approval pathway)</w:t>
      </w:r>
    </w:p>
    <w:p>
      <w:pPr>
        <w:pStyle w:val="ListBullet"/>
        <w:ind w:left="360" w:hanging="360"/>
      </w:pPr>
      <w:r>
        <w:rPr>
          <w:rFonts w:ascii="Calibri" w:hAnsi="Calibri"/>
          <w:b/>
          <w:color w:val="525866"/>
          <w:sz w:val="22"/>
        </w:rPr>
        <w:t xml:space="preserve">June 10, 2026: </w:t>
      </w:r>
      <w:r>
        <w:rPr>
          <w:rFonts w:ascii="Calibri" w:hAnsi="Calibri"/>
          <w:color w:val="525866"/>
          <w:sz w:val="22"/>
        </w:rPr>
        <w:t>Goldman Sachs Global Healthcare Conference — management reiterated pipeline confidence; WAHA data expected summer/early fall 2026</w:t>
      </w:r>
    </w:p>
    <w:p>
      <w:pPr>
        <w:pStyle w:val="ListBullet"/>
        <w:ind w:left="360" w:hanging="360"/>
      </w:pPr>
      <w:r>
        <w:rPr>
          <w:rFonts w:ascii="Calibri" w:hAnsi="Calibri"/>
          <w:b/>
          <w:color w:val="525866"/>
          <w:sz w:val="22"/>
        </w:rPr>
        <w:t xml:space="preserve">July 2–6, 2026: </w:t>
      </w:r>
      <w:r>
        <w:rPr>
          <w:rFonts w:ascii="Calibri" w:hAnsi="Calibri"/>
          <w:color w:val="525866"/>
          <w:sz w:val="22"/>
        </w:rPr>
        <w:t>Crinetics acquisition announced at $85/share ($10B equity value); stock spiked ~23% before retracing</w:t>
      </w:r>
    </w:p>
    <w:p>
      <w:r>
        <w:rPr>
          <w:rFonts w:ascii="Calibri" w:hAnsi="Calibri"/>
          <w:i/>
          <w:color w:val="525866"/>
          <w:sz w:val="22"/>
        </w:rPr>
        <w:t>Sector ETF: XBI (SPDR S&amp;P Biotech ETF) used as the biotech sector benchmark, appropriate for VRTX’s large-cap specialty biopharma sub-sector.</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b/>
          <w:color w:val="525866"/>
          <w:sz w:val="22"/>
        </w:rPr>
        <w:t xml:space="preserve">Peer Q2 2026 earnings calls (reported before VRTX) offer two relevant read-throughs: (1) </w:t>
      </w:r>
      <w:r>
        <w:rPr>
          <w:rFonts w:ascii="Calibri" w:hAnsi="Calibri"/>
          <w:b/>
          <w:color w:val="525866"/>
          <w:sz w:val="22"/>
        </w:rPr>
        <w:t>AstraZeneca’s IgAN commentary confirms the competitive landscape is intensifying but the market is large enough for multiple therapies</w:t>
      </w:r>
      <w:r>
        <w:rPr>
          <w:rFonts w:ascii="Calibri" w:hAnsi="Calibri"/>
          <w:b/>
          <w:color w:val="525866"/>
          <w:sz w:val="22"/>
        </w:rPr>
        <w:t xml:space="preserve"> — a net positive for povetacicept’s upcoming launch; and (2) </w:t>
      </w:r>
      <w:r>
        <w:rPr>
          <w:rFonts w:ascii="Calibri" w:hAnsi="Calibri"/>
          <w:b/>
          <w:color w:val="525866"/>
          <w:sz w:val="22"/>
        </w:rPr>
        <w:t>Biogen’s nephrology expansion signals growing institutional conviction in kidney disease as a commercial opportunity</w:t>
      </w:r>
      <w:r>
        <w:rPr>
          <w:rFonts w:ascii="Calibri" w:hAnsi="Calibri"/>
          <w:color w:val="525866"/>
          <w:sz w:val="22"/>
        </w:rPr>
        <w:t>, validating Vertex’s renal franchise buildout thesis. No direct JOURNAVX or CF read-throughs emerged from peers this quarter.</w:t>
      </w:r>
    </w:p>
    <w:p>
      <w:pPr>
        <w:pStyle w:val="Heading3"/>
      </w:pPr>
      <w:r>
        <w:rPr>
          <w:rFonts w:ascii="Calibri" w:hAnsi="Calibri"/>
          <w:b/>
          <w:color w:val="3B4259"/>
          <w:sz w:val="24"/>
        </w:rPr>
        <w:t>AstraZeneca (AZN) — Q2 2026 Earnings Call (July 27, 2026)</w:t>
      </w:r>
    </w:p>
    <w:p>
      <w:r>
        <w:rPr>
          <w:rFonts w:ascii="Calibri" w:hAnsi="Calibri"/>
          <w:b/>
          <w:i/>
          <w:color w:val="525866"/>
          <w:sz w:val="22"/>
        </w:rPr>
        <w:t>Relevance: IgAN competitive landscape, nephrology market dynamics</w:t>
      </w:r>
    </w:p>
    <w:p>
      <w:r>
        <w:rPr>
          <w:rFonts w:ascii="Calibri" w:hAnsi="Calibri"/>
          <w:b/>
          <w:color w:val="525866"/>
          <w:sz w:val="22"/>
        </w:rPr>
        <w:t>IgAN / Tomyris (complement C5 inhibitor) Phase 3 Data:</w:t>
      </w:r>
      <w:r>
        <w:rPr>
          <w:rFonts w:ascii="Calibri" w:hAnsi="Calibri"/>
          <w:color w:val="525866"/>
          <w:sz w:val="22"/>
        </w:rPr>
        <w:t xml:space="preserve"> AstraZeneca’s Alexion unit reported positive Phase 3 data from the I-CAN trial for Tomyris in IgAN, showing a </w:t>
      </w:r>
      <w:r>
        <w:rPr>
          <w:rFonts w:ascii="Calibri" w:hAnsi="Calibri"/>
          <w:b/>
          <w:color w:val="525866"/>
          <w:sz w:val="22"/>
        </w:rPr>
        <w:t>43% reduction in proteinuria</w:t>
      </w:r>
      <w:r>
        <w:rPr>
          <w:rFonts w:ascii="Calibri" w:hAnsi="Calibri"/>
          <w:color w:val="525866"/>
          <w:sz w:val="22"/>
        </w:rPr>
        <w:t xml:space="preserve"> with effects consistent across patient groups including higher-risk and more inflammatory disease. Filings have been made in both the US and Japan. Management acknowledged that “IgAN is becoming an increasingly competitive treatment landscape” but emphasized the importance of multiple treatment approaches and the role of complement in disease pathophysiology.</w:t>
      </w:r>
    </w:p>
    <w:p>
      <w:r>
        <w:rPr>
          <w:rFonts w:ascii="Calibri" w:hAnsi="Calibri"/>
          <w:b/>
          <w:color w:val="525866"/>
          <w:sz w:val="22"/>
        </w:rPr>
        <w:t xml:space="preserve">Read-Through for VRTX: </w:t>
      </w:r>
      <w:r>
        <w:rPr>
          <w:rFonts w:ascii="Calibri" w:hAnsi="Calibri"/>
          <w:color w:val="525866"/>
          <w:sz w:val="22"/>
        </w:rPr>
        <w:t xml:space="preserve">AZN’s 43% proteinuria reduction with Tomyris compares favorably to some competitors but is meaningfully below povetacicept’s 52% absolute reduction (49.8% vs. placebo) from the RAINIER Phase 3 interim. The data reinforces the multi-therapy market thesis — management’s framing of IgAN as large enough for multiple transformative therapies is consistent with Vertex’s own messaging. Importantly, AZN’s complement-based mechanism is differentiated from pove’s BAFF/APRIL dual inhibition, suggesting limited head-to-head overlap in mechanism and potentially complementary positioning. The filing activity in the US and Japan also signals the IgAN market is moving toward a multi-product environment ahead of pove’s November 30, 2026 PDUFA date — </w:t>
      </w:r>
      <w:r>
        <w:rPr>
          <w:rFonts w:ascii="Calibri" w:hAnsi="Calibri"/>
          <w:b/>
          <w:color w:val="525866"/>
          <w:sz w:val="22"/>
        </w:rPr>
        <w:t>net positive for pove’s launch setup as it validates the market and physician awareness.</w:t>
      </w:r>
    </w:p>
    <w:p>
      <w:r>
        <w:rPr>
          <w:rFonts w:ascii="Calibri" w:hAnsi="Calibri"/>
          <w:b/>
          <w:color w:val="525866"/>
          <w:sz w:val="22"/>
        </w:rPr>
        <w:t>CKD Combination Strategies:</w:t>
      </w:r>
      <w:r>
        <w:rPr>
          <w:rFonts w:ascii="Calibri" w:hAnsi="Calibri"/>
          <w:color w:val="525866"/>
          <w:sz w:val="22"/>
        </w:rPr>
        <w:t xml:space="preserve"> AZN also highlighted three CKD combination programs in development (Zeebo Dapa for proteinuric CKD, Belle Siddappa for heart failure with low eGFR, and Dextrostat + dapagliflozin for CKD/hypertension), with data expected in H1 2027. Management noted “60 million patients are currently treated with dapagliflozin” and emphasized the high unmet need in proteinuric CKD. This broad CKD pipeline activity from a major pharma validates the commercial opportunity in kidney disease and is consistent with Vertex’s AMPLITUDE/AMPLIFIED strategy in APOL1-mediated kidney disease.</w:t>
      </w:r>
    </w:p>
    <w:p>
      <w:pPr>
        <w:pStyle w:val="Heading3"/>
      </w:pPr>
      <w:r>
        <w:rPr>
          <w:rFonts w:ascii="Calibri" w:hAnsi="Calibri"/>
          <w:b/>
          <w:color w:val="3B4259"/>
          <w:sz w:val="24"/>
        </w:rPr>
        <w:t>Biogen (BIIB) — Q2 2026 Earnings Call (July 29, 2026)</w:t>
      </w:r>
    </w:p>
    <w:p>
      <w:r>
        <w:rPr>
          <w:rFonts w:ascii="Calibri" w:hAnsi="Calibri"/>
          <w:b/>
          <w:i/>
          <w:color w:val="525866"/>
          <w:sz w:val="22"/>
        </w:rPr>
        <w:t>Relevance: Nephrology commercial expansion, IgAN pricing dynamics, FSGS market sizing</w:t>
      </w:r>
    </w:p>
    <w:p>
      <w:r>
        <w:rPr>
          <w:rFonts w:ascii="Calibri" w:hAnsi="Calibri"/>
          <w:b/>
          <w:color w:val="525866"/>
          <w:sz w:val="22"/>
        </w:rPr>
        <w:t>Nephrology Commercial Expansion:</w:t>
      </w:r>
      <w:r>
        <w:rPr>
          <w:rFonts w:ascii="Calibri" w:hAnsi="Calibri"/>
          <w:color w:val="525866"/>
          <w:sz w:val="22"/>
        </w:rPr>
        <w:t xml:space="preserve"> Biogen CEO Chris Viehbacher explicitly noted the company is “now looking at visiting nephrologists outside the US and Epileptologists and nephrology transplants,” representing a significant commercial pivot toward kidney disease. This expansion is being driven by Felzartamab (anti-CD38) data in IgAN, primary membranous nephropathy (pMN), and antibody-mediated rejection (AMR).</w:t>
      </w:r>
    </w:p>
    <w:p>
      <w:r>
        <w:rPr>
          <w:rFonts w:ascii="Calibri" w:hAnsi="Calibri"/>
          <w:b/>
          <w:color w:val="525866"/>
          <w:sz w:val="22"/>
        </w:rPr>
        <w:t>IgAN Pricing Signal:</w:t>
      </w:r>
      <w:r>
        <w:rPr>
          <w:rFonts w:ascii="Calibri" w:hAnsi="Calibri"/>
          <w:color w:val="525866"/>
          <w:sz w:val="22"/>
        </w:rPr>
        <w:t xml:space="preserve"> Viehbacher made a notable comment that “the pricing that is now occurring in IgAN is going to have a spillover effect on AMR,” referencing Otsuka’s IgAN pricing of ~$350,000/year. He estimated the AMR market at “somewhere between a $3 and $4 billion market” based on 11,000 patients at IgAN-level pricing. </w:t>
      </w:r>
      <w:r>
        <w:rPr>
          <w:rFonts w:ascii="Calibri" w:hAnsi="Calibri"/>
          <w:b/>
          <w:color w:val="525866"/>
          <w:sz w:val="22"/>
        </w:rPr>
        <w:t xml:space="preserve">Read-Through for VRTX: </w:t>
      </w:r>
      <w:r>
        <w:rPr>
          <w:rFonts w:ascii="Calibri" w:hAnsi="Calibri"/>
          <w:color w:val="525866"/>
          <w:sz w:val="22"/>
        </w:rPr>
        <w:t>This pricing commentary is a meaningful positive read-through for povetacicept’s IgAN launch — it confirms that the market is establishing a high-price anchor (~$350K/year) for IgAN therapies, which supports Vertex’s ability to price pove at a premium given its best-in-class efficacy profile (52% proteinuria reduction vs. 43% for Tomyris). The spillover pricing logic also benefits Vertex’s broader renal franchise (pMN, AMKD) where similar pricing dynamics could apply.</w:t>
      </w:r>
    </w:p>
    <w:p>
      <w:r>
        <w:rPr>
          <w:rFonts w:ascii="Calibri" w:hAnsi="Calibri"/>
          <w:b/>
          <w:color w:val="525866"/>
          <w:sz w:val="22"/>
        </w:rPr>
        <w:t>Felzartamab in IgAN and pMN:</w:t>
      </w:r>
      <w:r>
        <w:rPr>
          <w:rFonts w:ascii="Calibri" w:hAnsi="Calibri"/>
          <w:color w:val="525866"/>
          <w:sz w:val="22"/>
        </w:rPr>
        <w:t xml:space="preserve"> Biogen noted “IgAN and pMN data coming for Felzartamab,” with the AMR Phase 3 (TRANSCEND trial) data now expected in H1 2027. The pMN data readout timeline was not specified. Biogen’s Felzartamab targets plasma cells via anti-CD38, a different mechanism from pove’s BAFF/APRIL dual inhibition — these are likely complementary rather than directly competitive in IgAN and pMN.</w:t>
      </w:r>
    </w:p>
    <w:p>
      <w:r>
        <w:rPr>
          <w:rFonts w:ascii="Calibri" w:hAnsi="Calibri"/>
          <w:b/>
          <w:color w:val="525866"/>
          <w:sz w:val="22"/>
        </w:rPr>
        <w:t>FSGS Market Sizing:</w:t>
      </w:r>
      <w:r>
        <w:rPr>
          <w:rFonts w:ascii="Calibri" w:hAnsi="Calibri"/>
          <w:color w:val="525866"/>
          <w:sz w:val="22"/>
        </w:rPr>
        <w:t xml:space="preserve"> Biogen highlighted FSGS as “a really important indication” with ~27,000 patients in the US and high unmet need, pursuing a Phase 2 proof-of-concept with Empaveli. This is relevant context for Vertex’s AMPLITUDE Phase 3 (APOL1-mediated kidney disease, which includes FSGS-like presentations) and AMPLIFIED Phase 2 (broader AMKD population). The FSGS market sizing from Biogen is consistent with Vertex’s own framing of the AMKD opportunity.</w:t>
      </w:r>
    </w:p>
    <w:p>
      <w:r>
        <w:rPr>
          <w:rFonts w:ascii="Calibri" w:hAnsi="Calibri"/>
          <w:b/>
          <w:color w:val="525866"/>
          <w:sz w:val="22"/>
        </w:rPr>
        <w:t xml:space="preserve">Note: </w:t>
      </w:r>
      <w:r>
        <w:rPr>
          <w:rFonts w:ascii="Calibri" w:hAnsi="Calibri"/>
          <w:i/>
          <w:color w:val="525866"/>
          <w:sz w:val="22"/>
        </w:rPr>
        <w:t>No direct JOURNAVX, suzetrigine, or acute pain read-throughs emerged from peer Q2 2026 earnings calls. AbbVie’s Q2 2026 call discussed migraine (Qulipta, Ubrelvy, Botox) with double-digit growth but no commentary on Nav 1.8 inhibitors or acute non-opioid pain dynamics relevant to JOURNAVX. No CF-specific peer commentary was identified in the 60-day window.</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002FA7"/>
          <w:sz w:val="22"/>
        </w:rPr>
        <w:t>$10B acquisition of Crinetics Pharmaceuticals (July 6, 2026)</w:t>
      </w:r>
      <w:r>
        <w:rPr>
          <w:rFonts w:ascii="Calibri" w:hAnsi="Calibri"/>
          <w:b/>
          <w:color w:val="525866"/>
          <w:sz w:val="22"/>
        </w:rPr>
        <w:t>, which adds a fifth therapeutic pillar (endocrinology) and two potential blockbuster assets (PALSONIFY in acromegaly, atumelnant in CAH) but introduces near-term EPS dilution and capital allocation complexity heading into the Q2 print.</w:t>
      </w:r>
    </w:p>
    <w:p>
      <w:pPr>
        <w:pStyle w:val="ListBullet"/>
        <w:ind w:left="360" w:hanging="360"/>
      </w:pPr>
      <w:r>
        <w:rPr>
          <w:rFonts w:ascii="Calibri" w:hAnsi="Calibri"/>
          <w:b/>
          <w:color w:val="525866"/>
          <w:sz w:val="22"/>
        </w:rPr>
        <w:t>July 6, 2026 — Vertex to Acquire Crinetics Pharmaceuticals for $85/Share ($10B Equity Value):</w:t>
      </w:r>
      <w:r>
        <w:rPr>
          <w:rFonts w:ascii="Calibri" w:hAnsi="Calibri"/>
          <w:color w:val="525866"/>
          <w:sz w:val="22"/>
        </w:rPr>
        <w:t xml:space="preserve"> All-cash deal ($8.8B net of cash) unanimously approved by both boards; expected to close Q3 2026. Crinetics brings PALSONIFY (FDA/EMA-approved, first oral acromegaly therapy, launched Oct. 2025 with ~40–50% new-to-brand Rx share) and atumelnant (Phase 3 in CAH, potential multi-billion-dollar opportunity). Peak combined revenue potential cited at “more than $5 billion.” Accretive to non-GAAP operating income in 2029. Financed with cash on hand + $4.5B bridge financing. </w:t>
      </w:r>
      <w:r>
        <w:rPr>
          <w:rFonts w:ascii="Calibri" w:hAnsi="Calibri"/>
          <w:b/>
          <w:color w:val="525866"/>
          <w:sz w:val="22"/>
        </w:rPr>
        <w:t xml:space="preserve">Implication: </w:t>
      </w:r>
      <w:r>
        <w:rPr>
          <w:rFonts w:ascii="Calibri" w:hAnsi="Calibri"/>
          <w:color w:val="525866"/>
          <w:sz w:val="22"/>
        </w:rPr>
        <w:t>Establishes endocrinology as Vertex’s fifth franchise; management will need to address 2026 guidance update and near-term EPS dilution on the Q2 call. Market initially reacted positively (+23% spike) before retracing ~10% as investors weighed the price and accretion timeline.</w:t>
      </w:r>
    </w:p>
    <w:p>
      <w:pPr>
        <w:pStyle w:val="ListBullet"/>
        <w:ind w:left="360" w:hanging="360"/>
      </w:pPr>
      <w:r>
        <w:rPr>
          <w:rFonts w:ascii="Calibri" w:hAnsi="Calibri"/>
          <w:b/>
          <w:color w:val="525866"/>
          <w:sz w:val="22"/>
        </w:rPr>
        <w:t>June 1, 2026 — FDA Accepts Povetacicept BLA for IgAN; PDUFA Date November 30, 2026:</w:t>
      </w:r>
      <w:r>
        <w:rPr>
          <w:rFonts w:ascii="Calibri" w:hAnsi="Calibri"/>
          <w:color w:val="525866"/>
          <w:sz w:val="22"/>
        </w:rPr>
        <w:t xml:space="preserve"> FDA accepted the BLA (filed in record 27 days from database lock) and assigned a PDUFA target action date of November 30, 2026 for potential accelerated approval. </w:t>
      </w:r>
      <w:r>
        <w:rPr>
          <w:rFonts w:ascii="Calibri" w:hAnsi="Calibri"/>
          <w:b/>
          <w:color w:val="525866"/>
          <w:sz w:val="22"/>
        </w:rPr>
        <w:t xml:space="preserve">Implication: </w:t>
      </w:r>
      <w:r>
        <w:rPr>
          <w:rFonts w:ascii="Calibri" w:hAnsi="Calibri"/>
          <w:color w:val="525866"/>
          <w:sz w:val="22"/>
        </w:rPr>
        <w:t>De-risks the regulatory pathway for pove’s first commercial indication; launch preparation can now proceed with high confidence. Pove’s RAINIER Phase 3 data (52% proteinuria reduction, 49.8% vs. placebo) is the strongest efficacy profile in IgAN to date.</w:t>
      </w:r>
    </w:p>
    <w:p>
      <w:pPr>
        <w:pStyle w:val="ListBullet"/>
        <w:ind w:left="360" w:hanging="360"/>
      </w:pPr>
      <w:r>
        <w:rPr>
          <w:rFonts w:ascii="Calibri" w:hAnsi="Calibri"/>
          <w:b/>
          <w:color w:val="525866"/>
          <w:sz w:val="22"/>
        </w:rPr>
        <w:t>June 10, 2026 — Goldman Sachs Global Healthcare Conference:</w:t>
      </w:r>
      <w:r>
        <w:rPr>
          <w:rFonts w:ascii="Calibri" w:hAnsi="Calibri"/>
          <w:color w:val="525866"/>
          <w:sz w:val="22"/>
        </w:rPr>
        <w:t xml:space="preserve"> Management provided updates on WAHA (warm autoimmune hemolytic anemia) data from Alpine basket study expected summer to early fall 2026; DM1 program VX-670 (Phase 2 GALILEO study) data expected H2 2026; gMG Phase 2 (~40 patients) data expected in coming months. </w:t>
      </w:r>
      <w:r>
        <w:rPr>
          <w:rFonts w:ascii="Calibri" w:hAnsi="Calibri"/>
          <w:b/>
          <w:color w:val="525866"/>
          <w:sz w:val="22"/>
        </w:rPr>
        <w:t xml:space="preserve">Implication: </w:t>
      </w:r>
      <w:r>
        <w:rPr>
          <w:rFonts w:ascii="Calibri" w:hAnsi="Calibri"/>
          <w:color w:val="525866"/>
          <w:sz w:val="22"/>
        </w:rPr>
        <w:t>Multiple near-term pipeline catalysts beyond the Q2 print; WAHA and gMG data could serve as incremental de-risking events for pove’s pipeline-in-a-product thesis.</w:t>
      </w:r>
    </w:p>
    <w:p>
      <w:pPr>
        <w:pStyle w:val="ListBullet"/>
        <w:ind w:left="360" w:hanging="360"/>
      </w:pPr>
      <w:r>
        <w:rPr>
          <w:rFonts w:ascii="Calibri" w:hAnsi="Calibri"/>
          <w:b/>
          <w:color w:val="525866"/>
          <w:sz w:val="22"/>
        </w:rPr>
        <w:t>May 4, 2026 — Q1 2026 Earnings: Key Operational Updates:</w:t>
      </w:r>
      <w:r>
        <w:rPr>
          <w:rFonts w:ascii="Calibri" w:hAnsi="Calibri"/>
          <w:color w:val="525866"/>
          <w:sz w:val="22"/>
        </w:rPr>
        <w:t xml:space="preserve"> JOURNAVX surpassed 1M cumulative prescriptions; CASGEVY surpassed 500 patients initiating treatment journey; ALYFTREK crossed $1B cumulative revenue; ALYFTREK/TRIKAFTA labels expanded to ~800 newly eligible US patients; ALYFTREK submission for ages 2–5 planned imminently; TRIKAFTA submission for ages 1–2 planned near term; VX-522 mRNA program discontinued due to LNP-related lung inflammation. </w:t>
      </w:r>
      <w:r>
        <w:rPr>
          <w:rFonts w:ascii="Calibri" w:hAnsi="Calibri"/>
          <w:b/>
          <w:color w:val="525866"/>
          <w:sz w:val="22"/>
        </w:rPr>
        <w:t xml:space="preserve">Implication: </w:t>
      </w:r>
      <w:r>
        <w:rPr>
          <w:rFonts w:ascii="Calibri" w:hAnsi="Calibri"/>
          <w:color w:val="525866"/>
          <w:sz w:val="22"/>
        </w:rPr>
        <w:t>VX-522 discontinuation was the only negative surprise; all other updates were positive or in-line. The label expansions and age group extensions provide incremental CF revenue tailwinds in H2 2026.</w:t>
      </w:r>
    </w:p>
    <w:p>
      <w:pPr>
        <w:pStyle w:val="ListBullet"/>
        <w:ind w:left="360" w:hanging="360"/>
      </w:pPr>
      <w:r>
        <w:rPr>
          <w:rFonts w:ascii="Calibri" w:hAnsi="Calibri"/>
          <w:b/>
          <w:color w:val="525866"/>
          <w:sz w:val="22"/>
        </w:rPr>
        <w:t>May 13, 2026 — Vertex Shareholders Approve New Stock Plan and Governance Change:</w:t>
      </w:r>
      <w:r>
        <w:rPr>
          <w:rFonts w:ascii="Calibri" w:hAnsi="Calibri"/>
          <w:color w:val="525866"/>
          <w:sz w:val="22"/>
        </w:rPr>
        <w:t xml:space="preserve"> Routine governance item; no material financial impact. </w:t>
      </w:r>
    </w:p>
    <w:p>
      <w:pPr>
        <w:pStyle w:val="ListBullet"/>
        <w:ind w:left="360" w:hanging="360"/>
      </w:pPr>
      <w:r>
        <w:rPr>
          <w:rFonts w:ascii="Calibri" w:hAnsi="Calibri"/>
          <w:b/>
          <w:color w:val="525866"/>
          <w:sz w:val="22"/>
        </w:rPr>
        <w:t>Analyst Rating Changes:</w:t>
      </w:r>
      <w:r>
        <w:rPr>
          <w:rFonts w:ascii="Calibri" w:hAnsi="Calibri"/>
          <w:color w:val="525866"/>
          <w:sz w:val="22"/>
        </w:rPr>
        <w:t xml:space="preserve"> No upgrades or downgrades were identified in the May 4 – August 2, 2026 window from the available dataset. The stock’s outperformance appears driven by fundamental catalysts rather than rating changes.</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Insider activity since Q1 earnings is dominated by </w:t>
      </w:r>
      <w:r>
        <w:rPr>
          <w:rFonts w:ascii="Calibri" w:hAnsi="Calibri"/>
          <w:b/>
          <w:color w:val="525866"/>
          <w:sz w:val="22"/>
        </w:rPr>
        <w:t>10b5-1 planned sales</w:t>
      </w:r>
      <w:r>
        <w:rPr>
          <w:rFonts w:ascii="Calibri" w:hAnsi="Calibri"/>
          <w:b/>
          <w:color w:val="525866"/>
          <w:sz w:val="22"/>
        </w:rPr>
        <w:t xml:space="preserve"> across multiple senior executives — no discretionary open-market buys or unusual clustered selling patterns. The volume and cadence of sales is consistent with pre-scheduled diversification programs and does not signal negative conviction. </w:t>
      </w:r>
      <w:r>
        <w:rPr>
          <w:rFonts w:ascii="Calibri" w:hAnsi="Calibri"/>
          <w:color w:val="525866"/>
          <w:sz w:val="22"/>
        </w:rPr>
        <w:t>No open-market buys were recorded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6,988</w:t>
            </w:r>
          </w:p>
        </w:tc>
        <w:tc>
          <w:tcPr>
            <w:tcW w:type="dxa" w:w="1440"/>
          </w:tcPr>
          <w:p>
            <w:r>
              <w:rPr>
                <w:rFonts w:ascii="Calibri" w:hAnsi="Calibri"/>
                <w:sz w:val="22"/>
              </w:rPr>
              <w:t>May 12, 2026</w:t>
            </w:r>
          </w:p>
        </w:tc>
        <w:tc>
          <w:tcPr>
            <w:tcW w:type="dxa" w:w="1440"/>
          </w:tcPr>
          <w:p>
            <w:r>
              <w:rPr>
                <w:rFonts w:ascii="Calibri" w:hAnsi="Calibri"/>
                <w:sz w:val="22"/>
              </w:rPr>
              <w:t>Largest single sale in period; pre-scheduled 10b5-1 plan</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1,354</w:t>
            </w:r>
          </w:p>
        </w:tc>
        <w:tc>
          <w:tcPr>
            <w:tcW w:type="dxa" w:w="1440"/>
          </w:tcPr>
          <w:p>
            <w:r>
              <w:rPr>
                <w:rFonts w:ascii="Calibri" w:hAnsi="Calibri"/>
                <w:sz w:val="22"/>
              </w:rPr>
              <w:t>May 15, 2026</w:t>
            </w:r>
          </w:p>
        </w:tc>
        <w:tc>
          <w:tcPr>
            <w:tcW w:type="dxa" w:w="1440"/>
          </w:tcPr>
          <w:p>
            <w:r>
              <w:rPr>
                <w:rFonts w:ascii="Calibri" w:hAnsi="Calibri"/>
                <w:sz w:val="22"/>
              </w:rPr>
              <w:t>10b5-1 plan; routine diversification</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1,974</w:t>
            </w:r>
          </w:p>
        </w:tc>
        <w:tc>
          <w:tcPr>
            <w:tcW w:type="dxa" w:w="1440"/>
          </w:tcPr>
          <w:p>
            <w:r>
              <w:rPr>
                <w:rFonts w:ascii="Calibri" w:hAnsi="Calibri"/>
                <w:sz w:val="22"/>
              </w:rPr>
              <w:t>May 29, 2026</w:t>
            </w:r>
          </w:p>
        </w:tc>
        <w:tc>
          <w:tcPr>
            <w:tcW w:type="dxa" w:w="1440"/>
          </w:tcPr>
          <w:p>
            <w:r>
              <w:rPr>
                <w:rFonts w:ascii="Calibri" w:hAnsi="Calibri"/>
                <w:sz w:val="22"/>
              </w:rPr>
              <w:t>10b5-1 plan; routine diversification</w:t>
            </w:r>
          </w:p>
        </w:tc>
      </w:tr>
      <w:tr>
        <w:tc>
          <w:tcPr>
            <w:tcW w:type="dxa" w:w="1440"/>
          </w:tcPr>
          <w:p>
            <w:r>
              <w:rPr>
                <w:rFonts w:ascii="Calibri" w:hAnsi="Calibri"/>
                <w:sz w:val="22"/>
              </w:rPr>
              <w:t>Liu Joy</w:t>
            </w:r>
          </w:p>
        </w:tc>
        <w:tc>
          <w:tcPr>
            <w:tcW w:type="dxa" w:w="1440"/>
          </w:tcPr>
          <w:p>
            <w:r>
              <w:rPr>
                <w:rFonts w:ascii="Calibri" w:hAnsi="Calibri"/>
                <w:sz w:val="22"/>
              </w:rPr>
              <w:t>EVP and Chief Legal Officer</w:t>
            </w:r>
          </w:p>
        </w:tc>
        <w:tc>
          <w:tcPr>
            <w:tcW w:type="dxa" w:w="1440"/>
          </w:tcPr>
          <w:p>
            <w:r>
              <w:rPr>
                <w:rFonts w:ascii="Calibri" w:hAnsi="Calibri"/>
                <w:sz w:val="22"/>
              </w:rPr>
              <w:t>10b5-1 Planned Sale</w:t>
            </w:r>
          </w:p>
        </w:tc>
        <w:tc>
          <w:tcPr>
            <w:tcW w:type="dxa" w:w="1440"/>
          </w:tcPr>
          <w:p>
            <w:r>
              <w:rPr>
                <w:rFonts w:ascii="Calibri" w:hAnsi="Calibri"/>
                <w:sz w:val="22"/>
              </w:rPr>
              <w:t>1,104</w:t>
            </w:r>
          </w:p>
        </w:tc>
        <w:tc>
          <w:tcPr>
            <w:tcW w:type="dxa" w:w="1440"/>
          </w:tcPr>
          <w:p>
            <w:r>
              <w:rPr>
                <w:rFonts w:ascii="Calibri" w:hAnsi="Calibri"/>
                <w:sz w:val="22"/>
              </w:rPr>
              <w:t>May 1, 2026</w:t>
            </w:r>
          </w:p>
        </w:tc>
        <w:tc>
          <w:tcPr>
            <w:tcW w:type="dxa" w:w="1440"/>
          </w:tcPr>
          <w:p>
            <w:r>
              <w:rPr>
                <w:rFonts w:ascii="Calibri" w:hAnsi="Calibri"/>
                <w:sz w:val="22"/>
              </w:rPr>
              <w:t>10b5-1 plan; routine diversification</w:t>
            </w:r>
          </w:p>
        </w:tc>
      </w:tr>
      <w:tr>
        <w:tc>
          <w:tcPr>
            <w:tcW w:type="dxa" w:w="1440"/>
          </w:tcPr>
          <w:p>
            <w:r>
              <w:rPr>
                <w:rFonts w:ascii="Calibri" w:hAnsi="Calibri"/>
                <w:sz w:val="22"/>
              </w:rPr>
              <w:t>Liu Joy</w:t>
            </w:r>
          </w:p>
        </w:tc>
        <w:tc>
          <w:tcPr>
            <w:tcW w:type="dxa" w:w="1440"/>
          </w:tcPr>
          <w:p>
            <w:r>
              <w:rPr>
                <w:rFonts w:ascii="Calibri" w:hAnsi="Calibri"/>
                <w:sz w:val="22"/>
              </w:rPr>
              <w:t>EVP and Chief Legal Officer</w:t>
            </w:r>
          </w:p>
        </w:tc>
        <w:tc>
          <w:tcPr>
            <w:tcW w:type="dxa" w:w="1440"/>
          </w:tcPr>
          <w:p>
            <w:r>
              <w:rPr>
                <w:rFonts w:ascii="Calibri" w:hAnsi="Calibri"/>
                <w:sz w:val="22"/>
              </w:rPr>
              <w:t>10b5-1 Planned Sale</w:t>
            </w:r>
          </w:p>
        </w:tc>
        <w:tc>
          <w:tcPr>
            <w:tcW w:type="dxa" w:w="1440"/>
          </w:tcPr>
          <w:p>
            <w:r>
              <w:rPr>
                <w:rFonts w:ascii="Calibri" w:hAnsi="Calibri"/>
                <w:sz w:val="22"/>
              </w:rPr>
              <w:t>828</w:t>
            </w:r>
          </w:p>
        </w:tc>
        <w:tc>
          <w:tcPr>
            <w:tcW w:type="dxa" w:w="1440"/>
          </w:tcPr>
          <w:p>
            <w:r>
              <w:rPr>
                <w:rFonts w:ascii="Calibri" w:hAnsi="Calibri"/>
                <w:sz w:val="22"/>
              </w:rPr>
              <w:t>Jun 1, 2026</w:t>
            </w:r>
          </w:p>
        </w:tc>
        <w:tc>
          <w:tcPr>
            <w:tcW w:type="dxa" w:w="1440"/>
          </w:tcPr>
          <w:p>
            <w:r>
              <w:rPr>
                <w:rFonts w:ascii="Calibri" w:hAnsi="Calibri"/>
                <w:sz w:val="22"/>
              </w:rPr>
              <w:t>10b5-1 plan; routine diversification</w:t>
            </w:r>
          </w:p>
        </w:tc>
      </w:tr>
      <w:tr>
        <w:tc>
          <w:tcPr>
            <w:tcW w:type="dxa" w:w="1440"/>
          </w:tcPr>
          <w:p>
            <w:r>
              <w:rPr>
                <w:rFonts w:ascii="Calibri" w:hAnsi="Calibri"/>
                <w:sz w:val="22"/>
              </w:rPr>
              <w:t>Liu Joy</w:t>
            </w:r>
          </w:p>
        </w:tc>
        <w:tc>
          <w:tcPr>
            <w:tcW w:type="dxa" w:w="1440"/>
          </w:tcPr>
          <w:p>
            <w:r>
              <w:rPr>
                <w:rFonts w:ascii="Calibri" w:hAnsi="Calibri"/>
                <w:sz w:val="22"/>
              </w:rPr>
              <w:t>EVP and Chief Legal Officer</w:t>
            </w:r>
          </w:p>
        </w:tc>
        <w:tc>
          <w:tcPr>
            <w:tcW w:type="dxa" w:w="1440"/>
          </w:tcPr>
          <w:p>
            <w:r>
              <w:rPr>
                <w:rFonts w:ascii="Calibri" w:hAnsi="Calibri"/>
                <w:sz w:val="22"/>
              </w:rPr>
              <w:t>10b5-1 Planned Sale</w:t>
            </w:r>
          </w:p>
        </w:tc>
        <w:tc>
          <w:tcPr>
            <w:tcW w:type="dxa" w:w="1440"/>
          </w:tcPr>
          <w:p>
            <w:r>
              <w:rPr>
                <w:rFonts w:ascii="Calibri" w:hAnsi="Calibri"/>
                <w:sz w:val="22"/>
              </w:rPr>
              <w:t>828</w:t>
            </w:r>
          </w:p>
        </w:tc>
        <w:tc>
          <w:tcPr>
            <w:tcW w:type="dxa" w:w="1440"/>
          </w:tcPr>
          <w:p>
            <w:r>
              <w:rPr>
                <w:rFonts w:ascii="Calibri" w:hAnsi="Calibri"/>
                <w:sz w:val="22"/>
              </w:rPr>
              <w:t>Jul 1, 2026</w:t>
            </w:r>
          </w:p>
        </w:tc>
        <w:tc>
          <w:tcPr>
            <w:tcW w:type="dxa" w:w="1440"/>
          </w:tcPr>
          <w:p>
            <w:r>
              <w:rPr>
                <w:rFonts w:ascii="Calibri" w:hAnsi="Calibri"/>
                <w:sz w:val="22"/>
              </w:rPr>
              <w:t>10b5-1 plan; routine diversification</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4,062</w:t>
            </w:r>
          </w:p>
        </w:tc>
        <w:tc>
          <w:tcPr>
            <w:tcW w:type="dxa" w:w="1440"/>
          </w:tcPr>
          <w:p>
            <w:r>
              <w:rPr>
                <w:rFonts w:ascii="Calibri" w:hAnsi="Calibri"/>
                <w:sz w:val="22"/>
              </w:rPr>
              <w:t>Jun 15, 2026</w:t>
            </w:r>
          </w:p>
        </w:tc>
        <w:tc>
          <w:tcPr>
            <w:tcW w:type="dxa" w:w="1440"/>
          </w:tcPr>
          <w:p>
            <w:r>
              <w:rPr>
                <w:rFonts w:ascii="Calibri" w:hAnsi="Calibri"/>
                <w:sz w:val="22"/>
              </w:rPr>
              <w:t>10b5-1 plan; largest June sale by CMO</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1,020</w:t>
            </w:r>
          </w:p>
        </w:tc>
        <w:tc>
          <w:tcPr>
            <w:tcW w:type="dxa" w:w="1440"/>
          </w:tcPr>
          <w:p>
            <w:r>
              <w:rPr>
                <w:rFonts w:ascii="Calibri" w:hAnsi="Calibri"/>
                <w:sz w:val="22"/>
              </w:rPr>
              <w:t>Jun 18, 2026</w:t>
            </w:r>
          </w:p>
        </w:tc>
        <w:tc>
          <w:tcPr>
            <w:tcW w:type="dxa" w:w="1440"/>
          </w:tcPr>
          <w:p>
            <w:r>
              <w:rPr>
                <w:rFonts w:ascii="Calibri" w:hAnsi="Calibri"/>
                <w:sz w:val="22"/>
              </w:rPr>
              <w:t>10b5-1 plan; routine diversification</w:t>
            </w:r>
          </w:p>
        </w:tc>
      </w:tr>
      <w:tr>
        <w:tc>
          <w:tcPr>
            <w:tcW w:type="dxa" w:w="1440"/>
          </w:tcPr>
          <w:p>
            <w:r>
              <w:rPr>
                <w:rFonts w:ascii="Calibri" w:hAnsi="Calibri"/>
                <w:sz w:val="22"/>
              </w:rPr>
              <w:t>Bozic Carmen</w:t>
            </w:r>
          </w:p>
        </w:tc>
        <w:tc>
          <w:tcPr>
            <w:tcW w:type="dxa" w:w="1440"/>
          </w:tcPr>
          <w:p>
            <w:r>
              <w:rPr>
                <w:rFonts w:ascii="Calibri" w:hAnsi="Calibri"/>
                <w:sz w:val="22"/>
              </w:rPr>
              <w:t>EVP and CMO</w:t>
            </w:r>
          </w:p>
        </w:tc>
        <w:tc>
          <w:tcPr>
            <w:tcW w:type="dxa" w:w="1440"/>
          </w:tcPr>
          <w:p>
            <w:r>
              <w:rPr>
                <w:rFonts w:ascii="Calibri" w:hAnsi="Calibri"/>
                <w:sz w:val="22"/>
              </w:rPr>
              <w:t>10b5-1 Planned Sale</w:t>
            </w:r>
          </w:p>
        </w:tc>
        <w:tc>
          <w:tcPr>
            <w:tcW w:type="dxa" w:w="1440"/>
          </w:tcPr>
          <w:p>
            <w:r>
              <w:rPr>
                <w:rFonts w:ascii="Calibri" w:hAnsi="Calibri"/>
                <w:sz w:val="22"/>
              </w:rPr>
              <w:t>596</w:t>
            </w:r>
          </w:p>
        </w:tc>
        <w:tc>
          <w:tcPr>
            <w:tcW w:type="dxa" w:w="1440"/>
          </w:tcPr>
          <w:p>
            <w:r>
              <w:rPr>
                <w:rFonts w:ascii="Calibri" w:hAnsi="Calibri"/>
                <w:sz w:val="22"/>
              </w:rPr>
              <w:t>Jun 26, 2026</w:t>
            </w:r>
          </w:p>
        </w:tc>
        <w:tc>
          <w:tcPr>
            <w:tcW w:type="dxa" w:w="1440"/>
          </w:tcPr>
          <w:p>
            <w:r>
              <w:rPr>
                <w:rFonts w:ascii="Calibri" w:hAnsi="Calibri"/>
                <w:sz w:val="22"/>
              </w:rPr>
              <w:t>10b5-1 plan; routine diversification</w:t>
            </w:r>
          </w:p>
        </w:tc>
      </w:tr>
      <w:tr>
        <w:tc>
          <w:tcPr>
            <w:tcW w:type="dxa" w:w="1440"/>
          </w:tcPr>
          <w:p>
            <w:r>
              <w:rPr>
                <w:rFonts w:ascii="Calibri" w:hAnsi="Calibri"/>
                <w:sz w:val="22"/>
              </w:rPr>
              <w:t>McKechnie Duncan</w:t>
            </w:r>
          </w:p>
        </w:tc>
        <w:tc>
          <w:tcPr>
            <w:tcW w:type="dxa" w:w="1440"/>
          </w:tcPr>
          <w:p>
            <w:r>
              <w:rPr>
                <w:rFonts w:ascii="Calibri" w:hAnsi="Calibri"/>
                <w:sz w:val="22"/>
              </w:rPr>
              <w:t>EVP, Chief Commercial Officer</w:t>
            </w:r>
          </w:p>
        </w:tc>
        <w:tc>
          <w:tcPr>
            <w:tcW w:type="dxa" w:w="1440"/>
          </w:tcPr>
          <w:p>
            <w:r>
              <w:rPr>
                <w:rFonts w:ascii="Calibri" w:hAnsi="Calibri"/>
                <w:sz w:val="22"/>
              </w:rPr>
              <w:t>10b5-1 Planned Sale</w:t>
            </w:r>
          </w:p>
        </w:tc>
        <w:tc>
          <w:tcPr>
            <w:tcW w:type="dxa" w:w="1440"/>
          </w:tcPr>
          <w:p>
            <w:r>
              <w:rPr>
                <w:rFonts w:ascii="Calibri" w:hAnsi="Calibri"/>
                <w:sz w:val="22"/>
              </w:rPr>
              <w:t>1,541</w:t>
            </w:r>
          </w:p>
        </w:tc>
        <w:tc>
          <w:tcPr>
            <w:tcW w:type="dxa" w:w="1440"/>
          </w:tcPr>
          <w:p>
            <w:r>
              <w:rPr>
                <w:rFonts w:ascii="Calibri" w:hAnsi="Calibri"/>
                <w:sz w:val="22"/>
              </w:rPr>
              <w:t>Jul 2, 2026</w:t>
            </w:r>
          </w:p>
        </w:tc>
        <w:tc>
          <w:tcPr>
            <w:tcW w:type="dxa" w:w="1440"/>
          </w:tcPr>
          <w:p>
            <w:r>
              <w:rPr>
                <w:rFonts w:ascii="Calibri" w:hAnsi="Calibri"/>
                <w:sz w:val="22"/>
              </w:rPr>
              <w:t>10b5-1 plan; sold same day as Crinetics announcement — pre-scheduled, not discretionary</w:t>
            </w:r>
          </w:p>
        </w:tc>
      </w:tr>
      <w:tr>
        <w:tc>
          <w:tcPr>
            <w:tcW w:type="dxa" w:w="1440"/>
          </w:tcPr>
          <w:p>
            <w:r>
              <w:rPr>
                <w:rFonts w:ascii="Calibri" w:hAnsi="Calibri"/>
                <w:sz w:val="22"/>
              </w:rPr>
              <w:t>Tatsis Ourania</w:t>
            </w:r>
          </w:p>
        </w:tc>
        <w:tc>
          <w:tcPr>
            <w:tcW w:type="dxa" w:w="1440"/>
          </w:tcPr>
          <w:p>
            <w:r>
              <w:rPr>
                <w:rFonts w:ascii="Calibri" w:hAnsi="Calibri"/>
                <w:sz w:val="22"/>
              </w:rPr>
              <w:t>EVP, Chief Regulatory &amp; Quality Officer</w:t>
            </w:r>
          </w:p>
        </w:tc>
        <w:tc>
          <w:tcPr>
            <w:tcW w:type="dxa" w:w="1440"/>
          </w:tcPr>
          <w:p>
            <w:r>
              <w:rPr>
                <w:rFonts w:ascii="Calibri" w:hAnsi="Calibri"/>
                <w:sz w:val="22"/>
              </w:rPr>
              <w:t>10b5-1 Planned Sale</w:t>
            </w:r>
          </w:p>
        </w:tc>
        <w:tc>
          <w:tcPr>
            <w:tcW w:type="dxa" w:w="1440"/>
          </w:tcPr>
          <w:p>
            <w:r>
              <w:rPr>
                <w:rFonts w:ascii="Calibri" w:hAnsi="Calibri"/>
                <w:sz w:val="22"/>
              </w:rPr>
              <w:t>1,500</w:t>
            </w:r>
          </w:p>
        </w:tc>
        <w:tc>
          <w:tcPr>
            <w:tcW w:type="dxa" w:w="1440"/>
          </w:tcPr>
          <w:p>
            <w:r>
              <w:rPr>
                <w:rFonts w:ascii="Calibri" w:hAnsi="Calibri"/>
                <w:sz w:val="22"/>
              </w:rPr>
              <w:t>Jul 2, 2026</w:t>
            </w:r>
          </w:p>
        </w:tc>
        <w:tc>
          <w:tcPr>
            <w:tcW w:type="dxa" w:w="1440"/>
          </w:tcPr>
          <w:p>
            <w:r>
              <w:rPr>
                <w:rFonts w:ascii="Calibri" w:hAnsi="Calibri"/>
                <w:sz w:val="22"/>
              </w:rPr>
              <w:t>10b5-1 plan; pre-scheduled, not discretionary</w:t>
            </w:r>
          </w:p>
        </w:tc>
      </w:tr>
      <w:tr>
        <w:tc>
          <w:tcPr>
            <w:tcW w:type="dxa" w:w="1440"/>
          </w:tcPr>
          <w:p>
            <w:r>
              <w:rPr>
                <w:rFonts w:ascii="Calibri" w:hAnsi="Calibri"/>
                <w:sz w:val="22"/>
              </w:rPr>
              <w:t>Bunnage Mark E.</w:t>
            </w:r>
          </w:p>
        </w:tc>
        <w:tc>
          <w:tcPr>
            <w:tcW w:type="dxa" w:w="1440"/>
          </w:tcPr>
          <w:p>
            <w:r>
              <w:rPr>
                <w:rFonts w:ascii="Calibri" w:hAnsi="Calibri"/>
                <w:sz w:val="22"/>
              </w:rPr>
              <w:t>EVP, Chief Scientific Officer</w:t>
            </w:r>
          </w:p>
        </w:tc>
        <w:tc>
          <w:tcPr>
            <w:tcW w:type="dxa" w:w="1440"/>
          </w:tcPr>
          <w:p>
            <w:r>
              <w:rPr>
                <w:rFonts w:ascii="Calibri" w:hAnsi="Calibri"/>
                <w:sz w:val="22"/>
              </w:rPr>
              <w:t>10b5-1 Planned Sale</w:t>
            </w:r>
          </w:p>
        </w:tc>
        <w:tc>
          <w:tcPr>
            <w:tcW w:type="dxa" w:w="1440"/>
          </w:tcPr>
          <w:p>
            <w:r>
              <w:rPr>
                <w:rFonts w:ascii="Calibri" w:hAnsi="Calibri"/>
                <w:sz w:val="22"/>
              </w:rPr>
              <w:t>33</w:t>
            </w:r>
          </w:p>
        </w:tc>
        <w:tc>
          <w:tcPr>
            <w:tcW w:type="dxa" w:w="1440"/>
          </w:tcPr>
          <w:p>
            <w:r>
              <w:rPr>
                <w:rFonts w:ascii="Calibri" w:hAnsi="Calibri"/>
                <w:sz w:val="22"/>
              </w:rPr>
              <w:t>May 15, 2026</w:t>
            </w:r>
          </w:p>
        </w:tc>
        <w:tc>
          <w:tcPr>
            <w:tcW w:type="dxa" w:w="1440"/>
          </w:tcPr>
          <w:p>
            <w:r>
              <w:rPr>
                <w:rFonts w:ascii="Calibri" w:hAnsi="Calibri"/>
                <w:sz w:val="22"/>
              </w:rPr>
              <w:t>10b5-1 plan; nominal size</w:t>
            </w:r>
          </w:p>
        </w:tc>
      </w:tr>
    </w:tbl>
    <w:p>
      <w:r>
        <w:rPr>
          <w:rFonts w:ascii="Calibri" w:hAnsi="Calibri"/>
          <w:b/>
          <w:color w:val="525866"/>
          <w:sz w:val="22"/>
        </w:rPr>
        <w:t xml:space="preserve">Summary: </w:t>
      </w:r>
      <w:r>
        <w:rPr>
          <w:rFonts w:ascii="Calibri" w:hAnsi="Calibri"/>
          <w:color w:val="525866"/>
          <w:sz w:val="22"/>
        </w:rPr>
        <w:t>All open-market sales in the period are flagged as 10b5-1 planned sales (pre-scheduled diversification programs), with no discretionary selling identified. The CMO (Bozic Carmen) was the most active seller with ~15,994 shares sold across 5 transactions, consistent with a systematic diversification schedule. The Chief Commercial Officer (McKechnie Duncan) sold 1,541 shares on July 2 — the same day as the Crinetics announcement — but this was a pre-scheduled 10b5-1 sale and should not be interpreted as a negative signal. No open-market buys were recorded. The absence of discretionary buying is not unusual given the stock’s strong performance and the blackout period ahead of Q2 earnings.</w:t>
      </w:r>
    </w:p>
    <w:p>
      <w:r>
        <w:rPr>
          <w:rFonts w:ascii="Calibri" w:hAnsi="Calibri"/>
          <w:i/>
          <w:color w:val="525866"/>
          <w:sz w:val="22"/>
        </w:rPr>
        <w:t>Source: SEC Form 4 filings via Insider Transaction Data (May 4 – August 2, 2026). Only open-market transactions (Form 4 codes S/P) and 10b5-1 plan sales included. Award grants (code A) and director compensation transactions excluded from the table above.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