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VTR (Ventas Inc.) before writing the preview. Let me gather recent filings, earnings, and news.I'll read the most recent earnings materials and check for recent news over a wider window.Let me get recent stock price context and check for any recent news and analyst activity.Let me check for any recent 8-Ks or press releases in July, and get peer/sector context.Welltower (peer) just reported Q2 on July 27 — a key read-through. Let me read its highlights.I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17" w:name="ventas-vtr--2026-q2-earnings-preview"/>
    <w:p>
      <w:pPr>
        <w:pStyle w:val="Heading1"/>
      </w:pPr>
      <w:r>
        <w:t xml:space="preserve">Ventas (VTR) — 2026 Q2 Earnings Preview</w:t>
      </w:r>
    </w:p>
    <w:bookmarkStart w:id="9" w:name="X7a124de465c7d15cfaeb5cb66ee5f427458b327"/>
    <w:p>
      <w:pPr>
        <w:pStyle w:val="Heading3"/>
      </w:pPr>
      <w:r>
        <w:t xml:space="preserve">Report expected around July 28–29, 2026 | Q2 2026 Earnings Call: July 29, 2026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VTR heads into Q2 as a story stock for the senior-housing demographic "super-cycle," carried by a strong Q1 beat-and-raise and reinforced this week by a blowout read-through from peer Welltower. The catch: the stock has run ~20% in three months to all-time highs near $100, so the bar going into the print is high, and the key May–September selling season — the swing factor for the full year — is only now being reported for the first time.</w:t>
      </w:r>
    </w:p>
    <w:p>
      <w:r>
        <w:pict>
          <v:rect style="width:0;height:1.5pt" o:hralign="center" o:hrstd="t" o:hr="t"/>
        </w:pict>
      </w:r>
    </w:p>
    <w:bookmarkEnd w:id="10"/>
    <w:bookmarkStart w:id="11" w:name="X6b9cee15829480ac140f4bbb7298f3950a9b873"/>
    <w:p>
      <w:pPr>
        <w:pStyle w:val="Heading2"/>
      </w:pPr>
      <w:r>
        <w:t xml:space="preserve">1. Where the stock is — expectations are elevated</w:t>
      </w:r>
    </w:p>
    <w:p>
      <w:pPr>
        <w:pStyle w:val="FirstParagraph"/>
      </w:pPr>
      <w:r>
        <w:t xml:space="preserve">VTR has re-rated sharply into this print. Shares climbed from ~</w:t>
      </w:r>
      <m:oMath>
        <m:r>
          <m:t>82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o</m:t>
        </m:r>
        <m:r>
          <m:t>f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t</m:t>
        </m:r>
        <m:r>
          <m:t>o</m:t>
        </m:r>
        <m:r>
          <m:t>a</m:t>
        </m:r>
        <m:r>
          <m:t>n</m:t>
        </m:r>
        <m:r>
          <m:t>i</m:t>
        </m:r>
        <m:r>
          <m:t>n</m:t>
        </m:r>
        <m:r>
          <m:t>t</m:t>
        </m:r>
        <m:r>
          <m:t>r</m:t>
        </m:r>
        <m:r>
          <m:t>a</m:t>
        </m:r>
        <m:r>
          <m:t>d</m:t>
        </m:r>
        <m:r>
          <m:t>a</m:t>
        </m:r>
        <m:r>
          <m:t>y</m:t>
        </m:r>
        <m:r>
          <m:t>h</m:t>
        </m:r>
        <m:r>
          <m:t>i</m:t>
        </m:r>
        <m:r>
          <m:t>g</m:t>
        </m:r>
        <m:r>
          <m:t>h</m:t>
        </m:r>
        <m:r>
          <m:t>o</m:t>
        </m:r>
        <m:r>
          <m:t>f</m:t>
        </m:r>
        <m:r>
          <m:t> </m:t>
        </m:r>
      </m:oMath>
      <w:r>
        <w:t xml:space="preserve">100.5 on July 24, before easing to ~</w:t>
      </w:r>
      <m:oMath>
        <m:r>
          <m:t>98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(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+</m:t>
        </m:r>
        <m:r>
          <m:t>20</m:t>
        </m:r>
      </m:oMath>
      <w:r>
        <w:t xml:space="preserve">84.7 pre-print on 4/27 to ~$87.6 on 4/28) and accelerated through July alongside broader senior-housing enthusiasm. Net: this is no longer a cheap, under-owned name — good numbers are increasingly the consensus expectation, which raises the risk of a "good-but-not-good-enough" reaction.</w:t>
      </w:r>
    </w:p>
    <w:p>
      <w:r>
        <w:pict>
          <v:rect style="width:0;height:1.5pt" o:hralign="center" o:hrstd="t" o:hr="t"/>
        </w:pict>
      </w:r>
    </w:p>
    <w:bookmarkEnd w:id="11"/>
    <w:bookmarkStart w:id="12" w:name="X86e550fb17d1bffeb0db2163c891f88d29c22aa"/>
    <w:p>
      <w:pPr>
        <w:pStyle w:val="Heading2"/>
      </w:pPr>
      <w:r>
        <w:t xml:space="preserve">2. What management set up in Q1 (the baseline to beat)</w:t>
      </w:r>
    </w:p>
    <w:p>
      <w:pPr>
        <w:pStyle w:val="FirstParagraph"/>
      </w:pPr>
      <w:r>
        <w:t xml:space="preserve">Ventas delivered a beat-and-raise in Q1 2026: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Normalized FFO of $0.94/share, +9% YoY</w:t>
      </w:r>
      <w:r>
        <w:t xml:space="preserve">, on total same-store cash NOI growth of ~9%.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SHOP same-store cash NOI +15.4% YoY</w:t>
      </w:r>
      <w:r>
        <w:t xml:space="preserve">, its fifth straight year of double-digit SHOP growth, driven by</w:t>
      </w:r>
      <w:r>
        <w:t xml:space="preserve"> </w:t>
      </w:r>
      <w:r>
        <w:rPr>
          <w:b/>
          <w:bCs/>
        </w:rPr>
        <w:t xml:space="preserve">+310 bps same-store occupancy</w:t>
      </w:r>
      <w:r>
        <w:t xml:space="preserve"> </w:t>
      </w:r>
      <w:r>
        <w:t xml:space="preserve">(to 90.4%) and</w:t>
      </w:r>
      <w:r>
        <w:t xml:space="preserve"> </w:t>
      </w:r>
      <w:r>
        <w:rPr>
          <w:b/>
          <w:bCs/>
        </w:rPr>
        <w:t xml:space="preserve">RevPOR +5%</w:t>
      </w:r>
      <w:r>
        <w:t xml:space="preserve">, with</w:t>
      </w:r>
      <w:r>
        <w:t xml:space="preserve"> </w:t>
      </w:r>
      <w:r>
        <w:rPr>
          <w:b/>
          <w:bCs/>
        </w:rPr>
        <w:t xml:space="preserve">170 bps of NOI margin expansion</w:t>
      </w:r>
      <w:r>
        <w:t xml:space="preserve"> </w:t>
      </w:r>
      <w:r>
        <w:t xml:space="preserve">to 30% and ~50% incremental margins. U.S. same-store occupancy was up</w:t>
      </w:r>
      <w:r>
        <w:t xml:space="preserve"> </w:t>
      </w:r>
      <w:r>
        <w:rPr>
          <w:b/>
          <w:bCs/>
        </w:rPr>
        <w:t xml:space="preserve">370 bps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Raised FY26 guidance:</w:t>
      </w:r>
      <w:r>
        <w:t xml:space="preserve"> </w:t>
      </w:r>
      <w:r>
        <w:t xml:space="preserve">Normalized FFO to</w:t>
      </w:r>
      <w:r>
        <w:t xml:space="preserve"> </w:t>
      </w:r>
      <m:oMath>
        <m:r>
          <m:t>3.82</m:t>
        </m:r>
        <m:r>
          <m:rPr>
            <m:sty m:val="p"/>
          </m:rPr>
          <m:t>–</m:t>
        </m:r>
      </m:oMath>
      <w:r>
        <w:rPr>
          <w:b/>
          <w:bCs/>
        </w:rPr>
        <w:t xml:space="preserve">3.89 (midpoint $3.86)</w:t>
      </w:r>
      <w:r>
        <w:t xml:space="preserve">, up $0.03 from the prior $3.83 midpoint;</w:t>
      </w:r>
      <w:r>
        <w:t xml:space="preserve"> </w:t>
      </w:r>
      <w:r>
        <w:rPr>
          <w:b/>
          <w:bCs/>
        </w:rPr>
        <w:t xml:space="preserve">SHOP same-store NOI raised to ~16%</w:t>
      </w:r>
      <w:r>
        <w:t xml:space="preserve"> </w:t>
      </w:r>
      <w:r>
        <w:t xml:space="preserve">(from 15%), on ~8.75% revenue growth and ~300 bps of occupancy growth.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Raised investment volume guidance to ~$3.0B</w:t>
      </w:r>
      <w:r>
        <w:t xml:space="preserve"> </w:t>
      </w:r>
      <w:r>
        <w:t xml:space="preserve">(from</w:t>
      </w:r>
      <w:r>
        <w:t xml:space="preserve"> </w:t>
      </w:r>
      <m:oMath>
        <m:r>
          <m:t>2.5</m:t>
        </m:r>
        <m:r>
          <m:t>B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 </m:t>
        </m:r>
      </m:oMath>
      <w:r>
        <w:t xml:space="preserve">1.7B of senior-housing deals already closed YTD including the</w:t>
      </w:r>
      <w:r>
        <w:t xml:space="preserve"> </w:t>
      </w:r>
      <w:r>
        <w:rPr>
          <w:b/>
          <w:bCs/>
        </w:rPr>
        <w:t xml:space="preserve">$540M Revel portfolio</w:t>
      </w:r>
      <w:r>
        <w:t xml:space="preserve"> </w:t>
      </w:r>
      <w:r>
        <w:t xml:space="preserve">(a scaled value-add IL lease-up in the mid-70%s occupancy, structured as a JV where the seller kept 25%).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Net debt/EBITDA improved to</w:t>
      </w:r>
      <w:r>
        <w:t xml:space="preserve"> </w:t>
      </w:r>
      <w:r>
        <w:rPr>
          <w:b/>
          <w:bCs/>
        </w:rPr>
        <w:t xml:space="preserve">5.0x</w:t>
      </w:r>
      <w:r>
        <w:t xml:space="preserve"> </w:t>
      </w:r>
      <w:r>
        <w:t xml:space="preserve">(10th consecutive quarterly improvement); **</w:t>
      </w:r>
      <m:oMath>
        <m:r>
          <m:t>5.5</m:t>
        </m:r>
        <m:r>
          <m:t>B</m:t>
        </m:r>
        <m:r>
          <m:t>l</m:t>
        </m:r>
        <m:r>
          <m:t>i</m:t>
        </m:r>
        <m:r>
          <m:t>q</m:t>
        </m:r>
        <m:r>
          <m:t>u</m:t>
        </m:r>
        <m:r>
          <m:t>i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 </m:t>
        </m:r>
      </m:oMath>
      <w:r>
        <w:t xml:space="preserve">2.4B of equity raised/forward-sold to fund 2026 investments.</w:t>
      </w:r>
    </w:p>
    <w:p>
      <w:pPr>
        <w:pStyle w:val="FirstParagraph"/>
      </w:pPr>
      <w:r>
        <w:t xml:space="preserve">Because Q1 was $0.94 and the full-year midpoint is</w:t>
      </w:r>
      <w:r>
        <w:t xml:space="preserve"> </w:t>
      </w:r>
      <m:oMath>
        <m:r>
          <m:t>3.86</m:t>
        </m:r>
        <m:r>
          <m:rPr>
            <m:sty m:val="p"/>
          </m:rPr>
          <m:t>,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0.97 average** across the remaining three quarters — so watch whether Q2 tracks that pace and whether management nudges guidance again.</w:t>
      </w:r>
    </w:p>
    <w:p>
      <w:r>
        <w:pict>
          <v:rect style="width:0;height:1.5pt" o:hralign="center" o:hrstd="t" o:hr="t"/>
        </w:pict>
      </w:r>
    </w:p>
    <w:bookmarkEnd w:id="12"/>
    <w:bookmarkStart w:id="13" w:name="Xec3416b7abe085ba4e8b9242968f3e196d31a5f"/>
    <w:p>
      <w:pPr>
        <w:pStyle w:val="Heading2"/>
      </w:pPr>
      <w:r>
        <w:t xml:space="preserve">3. The most important read-through: Welltower just reported (July 27)</w:t>
      </w:r>
    </w:p>
    <w:p>
      <w:pPr>
        <w:pStyle w:val="FirstParagraph"/>
      </w:pPr>
      <w:r>
        <w:t xml:space="preserve">The single best real-time signal for VTR's quarter is peer</w:t>
      </w:r>
      <w:r>
        <w:t xml:space="preserve"> </w:t>
      </w:r>
      <w:r>
        <w:rPr>
          <w:b/>
          <w:bCs/>
        </w:rPr>
        <w:t xml:space="preserve">Welltower (WELL)</w:t>
      </w:r>
      <w:r>
        <w:t xml:space="preserve">, which reported Q2 2026 on July 27 — and it was very strong:</w:t>
      </w:r>
    </w:p>
    <w:p>
      <w:pPr>
        <w:pStyle w:val="Compact"/>
        <w:numPr>
          <w:ilvl w:val="0"/>
          <w:numId w:val="1002"/>
        </w:numPr>
      </w:pPr>
      <w:r>
        <w:t xml:space="preserve">WELL's</w:t>
      </w:r>
      <w:r>
        <w:t xml:space="preserve"> </w:t>
      </w:r>
      <w:r>
        <w:rPr>
          <w:b/>
          <w:bCs/>
        </w:rPr>
        <w:t xml:space="preserve">Seniors Housing Operating (SHO) same-store NOI grew 20.5%</w:t>
      </w:r>
      <w:r>
        <w:t xml:space="preserve">, with SHO revenue</w:t>
      </w:r>
      <w:r>
        <w:t xml:space="preserve"> </w:t>
      </w:r>
      <w:r>
        <w:rPr>
          <w:b/>
          <w:bCs/>
        </w:rPr>
        <w:t xml:space="preserve">+9.2%</w:t>
      </w:r>
      <w:r>
        <w:t xml:space="preserve"> </w:t>
      </w:r>
      <w:r>
        <w:t xml:space="preserve">(330 bps of occupancy growth + 5.2% RevPOR).</w:t>
      </w:r>
    </w:p>
    <w:p>
      <w:pPr>
        <w:pStyle w:val="Compact"/>
        <w:numPr>
          <w:ilvl w:val="0"/>
          <w:numId w:val="1002"/>
        </w:numPr>
      </w:pPr>
      <w:r>
        <w:t xml:space="preserve">Normalized FFO of</w:t>
      </w:r>
      <w:r>
        <w:t xml:space="preserve"> </w:t>
      </w:r>
      <w:r>
        <w:rPr>
          <w:b/>
          <w:bCs/>
        </w:rPr>
        <w:t xml:space="preserve">$1.60, +25% YoY</w:t>
      </w:r>
      <w:r>
        <w:t xml:space="preserve">; WELL</w:t>
      </w:r>
      <w:r>
        <w:t xml:space="preserve"> </w:t>
      </w:r>
      <w:r>
        <w:rPr>
          <w:b/>
          <w:bCs/>
        </w:rPr>
        <w:t xml:space="preserve">raised</w:t>
      </w:r>
      <w:r>
        <w:t xml:space="preserve"> </w:t>
      </w:r>
      <w:r>
        <w:t xml:space="preserve">its full-year FFO guidance and lifted SHO same-store NOI guidance to ~18.5%–21.5%.</w:t>
      </w:r>
    </w:p>
    <w:p>
      <w:pPr>
        <w:pStyle w:val="Compact"/>
        <w:numPr>
          <w:ilvl w:val="0"/>
          <w:numId w:val="1002"/>
        </w:numPr>
      </w:pPr>
      <w:r>
        <w:t xml:space="preserve">WELL</w:t>
      </w:r>
      <w:r>
        <w:t xml:space="preserve"> </w:t>
      </w:r>
      <w:r>
        <w:rPr>
          <w:b/>
          <w:bCs/>
        </w:rPr>
        <w:t xml:space="preserve">raised its dividend 15%</w:t>
      </w:r>
      <w:r>
        <w:t xml:space="preserve"> </w:t>
      </w:r>
      <w:r>
        <w:t xml:space="preserve">and launched a</w:t>
      </w:r>
      <w:r>
        <w:t xml:space="preserve"> </w:t>
      </w:r>
      <w:r>
        <w:rPr>
          <w:b/>
          <w:bCs/>
        </w:rPr>
        <w:t xml:space="preserve">$7.5B ATM</w:t>
      </w:r>
      <w:r>
        <w:t xml:space="preserve">, signaling continued aggressive, equity-funded external growth.</w:t>
      </w:r>
    </w:p>
    <w:p>
      <w:pPr>
        <w:pStyle w:val="FirstParagraph"/>
      </w:pPr>
      <w:r>
        <w:rPr>
          <w:b/>
          <w:bCs/>
        </w:rPr>
        <w:t xml:space="preserve">Implication for VTR:</w:t>
      </w:r>
      <w:r>
        <w:t xml:space="preserve"> </w:t>
      </w:r>
      <w:r>
        <w:t xml:space="preserve">industry-wide senior housing demand/pricing remains robust into the peak selling season, which is a clear positive for VTR's occupancy and NOI trajectory. The nuance is that WELL's SHO growth rate (20%+) runs well ahead of VTR's ~16% SHOP guide — a reminder that VTR is the smaller, "catch-up" operator in the space and that investors may hold it to a high fundamental bar given the valuation.</w:t>
      </w:r>
    </w:p>
    <w:p>
      <w:r>
        <w:pict>
          <v:rect style="width:0;height:1.5pt" o:hralign="center" o:hrstd="t" o:hr="t"/>
        </w:pict>
      </w:r>
    </w:p>
    <w:bookmarkEnd w:id="13"/>
    <w:bookmarkStart w:id="14" w:name="X2a2a8dcd37755c4baf424681a9732ab64f52184"/>
    <w:p>
      <w:pPr>
        <w:pStyle w:val="Heading2"/>
      </w:pPr>
      <w:r>
        <w:t xml:space="preserve">4. What to watch in the actual print</w:t>
      </w:r>
    </w:p>
    <w:p>
      <w:pPr>
        <w:pStyle w:val="FirstParagraph"/>
      </w:pPr>
      <w:r>
        <w:rPr>
          <w:b/>
          <w:bCs/>
        </w:rPr>
        <w:t xml:space="preserve">a) SHOP occupancy and the "key selling season."</w:t>
      </w:r>
      <w:r>
        <w:t xml:space="preserve"> </w:t>
      </w:r>
      <w:r>
        <w:t xml:space="preserve">Management repeatedly flagged that May–September determines the full-year outcome. Q2 is the first quarter reporting into that window. Watch: sequential and YoY same-store occupancy (Q1 was 90.4% total / ~87% U.S.), RevPOR (Q1 +5%; in-place rate increases were ~8% in January), and whether U.S. occupancy keeps outrunning the NIC top-99 markets.</w:t>
      </w:r>
    </w:p>
    <w:p>
      <w:pPr>
        <w:pStyle w:val="BodyText"/>
      </w:pPr>
      <w:r>
        <w:rPr>
          <w:b/>
          <w:bCs/>
        </w:rPr>
        <w:t xml:space="preserve">b) Guidance — another raise?</w:t>
      </w:r>
      <w:r>
        <w:t xml:space="preserve"> </w:t>
      </w:r>
      <w:r>
        <w:t xml:space="preserve">After a Q1 raise and WELL's raise, the market may already be positioned for VTR to lift the FFO and SHOP NOI ranges again. A simple reaffirmation could disappoint given the stock's run. Watch the SHOP same-store NOI range (currently ~16%) and the ~$3.86 FFO midpoint.</w:t>
      </w:r>
    </w:p>
    <w:p>
      <w:pPr>
        <w:pStyle w:val="BodyText"/>
      </w:pPr>
      <w:r>
        <w:rPr>
          <w:b/>
          <w:bCs/>
        </w:rPr>
        <w:t xml:space="preserve">c) Expense/margin trajectory.</w:t>
      </w:r>
      <w:r>
        <w:t xml:space="preserve"> </w:t>
      </w:r>
      <w:r>
        <w:t xml:space="preserve">Q1 opex rose 5.8% (partly weather-driven) and full-year opex guidance was nudged to ~5.5% (mostly volume). With occupancy now around 90%, watch whether incremental margins start migrating from ~50% toward the ~70% management says stabilized (flat-occupancy) communities can deliver.</w:t>
      </w:r>
    </w:p>
    <w:p>
      <w:pPr>
        <w:pStyle w:val="BodyText"/>
      </w:pPr>
      <w:r>
        <w:rPr>
          <w:b/>
          <w:bCs/>
        </w:rPr>
        <w:t xml:space="preserve">d) External growth &amp; capital.</w:t>
      </w:r>
      <w:r>
        <w:t xml:space="preserve"> </w:t>
      </w:r>
      <w:r>
        <w:t xml:space="preserve">VTR raised investment guidance to ~</w:t>
      </w:r>
      <m:oMath>
        <m:r>
          <m:t>3</m:t>
        </m:r>
        <m:r>
          <m:t>B</m:t>
        </m:r>
        <m:r>
          <m:rPr>
            <m:sty m:val="p"/>
          </m:rPr>
          <m:t>;</m:t>
        </m:r>
        <m:r>
          <m:t>l</m:t>
        </m:r>
        <m:r>
          <m:t>o</m:t>
        </m:r>
        <m:r>
          <m:t>o</m:t>
        </m:r>
        <m:r>
          <m:t>k</m:t>
        </m:r>
        <m:r>
          <m:t>f</m:t>
        </m:r>
        <m:r>
          <m:t>o</m:t>
        </m:r>
        <m:r>
          <m:t>r</m:t>
        </m:r>
        <m:r>
          <m:t>u</m:t>
        </m:r>
        <m:r>
          <m:t>p</m:t>
        </m:r>
        <m:r>
          <m:t>d</m:t>
        </m:r>
        <m:r>
          <m:t>a</m:t>
        </m:r>
        <m:r>
          <m:t>t</m:t>
        </m:r>
        <m:r>
          <m:t>e</m:t>
        </m:r>
        <m:r>
          <m:t>d</m:t>
        </m:r>
        <m:r>
          <m:t>Y</m:t>
        </m:r>
        <m:r>
          <m:t>T</m:t>
        </m:r>
        <m:r>
          <m:t>D</m:t>
        </m:r>
        <m:r>
          <m:t>c</m:t>
        </m:r>
        <m:r>
          <m:t>l</m:t>
        </m:r>
        <m:r>
          <m:t>o</m:t>
        </m:r>
        <m:r>
          <m:t>s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,</m:t>
        </m:r>
        <m:r>
          <m:t>c</m:t>
        </m:r>
        <m:r>
          <m:t>a</m:t>
        </m:r>
        <m:r>
          <m:t>p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rPr>
            <m:sty m:val="p"/>
          </m:rPr>
          <m:t>(</m:t>
        </m:r>
        <m:r>
          <m:t>Q</m:t>
        </m:r>
        <m:r>
          <m:t>1</m:t>
        </m:r>
        <m:r>
          <m:rPr>
            <m:sty m:val="p"/>
          </m:rPr>
          <m:t>:</m:t>
        </m:r>
        <m:r>
          <m:t> </m:t>
        </m:r>
        <m:r>
          <m:t>6.5</m:t>
        </m:r>
      </m:oMath>
      <w:r>
        <w:t xml:space="preserve">50M run-rate over the next few years). Also watch competition/cap-rate compression commentary — VTR expanded its ATM to $3B in May, and equity-funded M&amp;A is central to the story.</w:t>
      </w:r>
    </w:p>
    <w:p>
      <w:pPr>
        <w:pStyle w:val="BodyText"/>
      </w:pPr>
      <w:r>
        <w:rPr>
          <w:b/>
          <w:bCs/>
        </w:rPr>
        <w:t xml:space="preserve">e) Balance sheet &amp; leverage.</w:t>
      </w:r>
      <w:r>
        <w:t xml:space="preserve"> </w:t>
      </w:r>
      <w:r>
        <w:t xml:space="preserve">Continued progress below 5.0x net debt/EBITDA would reinforce the "self-funding growth" narrative.</w:t>
      </w:r>
    </w:p>
    <w:p>
      <w:pPr>
        <w:pStyle w:val="BodyText"/>
      </w:pPr>
      <w:r>
        <w:rPr>
          <w:b/>
          <w:bCs/>
        </w:rPr>
        <w:t xml:space="preserve">f) Non-core segments.</w:t>
      </w:r>
      <w:r>
        <w:t xml:space="preserve"> </w:t>
      </w:r>
      <w:r>
        <w:t xml:space="preserve">OMAR (outpatient medical +3.1% in Q1; occupancy ~91%) and triple-net (Q1 +1.6%, aided by the 35% Brookdale escalator). These are shrinking as a share of the company and are a persistent question — expect analysts to keep probing potential dispositions/JVs of legacy assets.</w:t>
      </w:r>
    </w:p>
    <w:p>
      <w:r>
        <w:pict>
          <v:rect style="width:0;height:1.5pt" o:hralign="center" o:hrstd="t" o:hr="t"/>
        </w:pict>
      </w:r>
    </w:p>
    <w:bookmarkEnd w:id="14"/>
    <w:bookmarkStart w:id="15" w:name="X3619614eaf38187f7b116cf0f3563ab7f37291b"/>
    <w:p>
      <w:pPr>
        <w:pStyle w:val="Heading2"/>
      </w:pPr>
      <w:r>
        <w:t xml:space="preserve">5. Housekeeping / softer items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Management changes:</w:t>
      </w:r>
      <w:r>
        <w:t xml:space="preserve"> </w:t>
      </w:r>
      <w:r>
        <w:t xml:space="preserve">General Counsel Carey Roberts resigned in June to join Blackstone; OMAR leader Pete Bulgarelli is retiring after 8 years. Neither is a fundamental red flag, but leadership continuity questions may come up.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Presentation note:</w:t>
      </w:r>
      <w:r>
        <w:t xml:space="preserve"> </w:t>
      </w:r>
      <w:r>
        <w:t xml:space="preserve">Beginning Q1 2026, VTR excludes non-cash stock-based comp from Normalized FFO (prior periods restated) — keep that in mind when comparing to older estimates.</w:t>
      </w:r>
    </w:p>
    <w:p>
      <w:r>
        <w:pict>
          <v:rect style="width:0;height:1.5pt" o:hralign="center" o:hrstd="t" o:hr="t"/>
        </w:pic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Fundamentals into this print look excellent: five years of double-digit SHOP growth, accelerating boomer demand, historically low new supply, and a strongly positive Welltower read-through all argue for another solid quarter and a possible guidance bump. The risk is entirely about</w:t>
      </w:r>
      <w:r>
        <w:t xml:space="preserve"> </w:t>
      </w:r>
      <w:r>
        <w:rPr>
          <w:b/>
          <w:bCs/>
        </w:rPr>
        <w:t xml:space="preserve">expectations and valuation</w:t>
      </w:r>
      <w:r>
        <w:t xml:space="preserve"> </w:t>
      </w:r>
      <w:r>
        <w:t xml:space="preserve">— the stock is at record highs after a ~20% run, so the reaction likely hinges less on whether VTR beats and more on (1) the magnitude of any guidance raise, (2) occupancy momentum in the just-started peak selling season, and (3) whether SHOP growth and external-deal accretion are enough to justify a premium multiple against a peer (WELL) posting even faster growth. Watch the after-market reaction to the FFO/SHOP-NOI guidance revision as the key tell.</w:t>
      </w:r>
    </w:p>
    <w:p>
      <w:pPr>
        <w:pStyle w:val="BodyText"/>
      </w:pPr>
      <w:r>
        <w:rPr>
          <w:i/>
          <w:iCs/>
        </w:rPr>
        <w:t xml:space="preserve">Note: This preview is based on VTR's Q1 2026 results and guidance, peer Welltower's July 27 Q2 report, VTR corporate filings, and recent price action; it is for informational purposes and not investment advice. Consensus Q2 estimates were not available in the sources reviewed — the ~$0.97/quarter figure is derived from VTR's own full-year guidance midpoint.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2026-07-29T02:18:07Z</dcterms:created>
  <dcterms:modified xsi:type="dcterms:W3CDTF">2026-07-29T02:18:07Z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