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ventas-inc-vtr--2026q2-earnings-preview"/>
    <w:p>
      <w:pPr>
        <w:pStyle w:val="Heading1"/>
      </w:pPr>
      <w:r>
        <w:t xml:space="preserve">Ventas, Inc. (VTR) — 2026Q2 Earnings Preview</w:t>
      </w:r>
    </w:p>
    <w:p>
      <w:pPr>
        <w:pStyle w:val="FirstParagraph"/>
      </w:pPr>
      <w:r>
        <w:rPr>
          <w:b/>
          <w:bCs/>
        </w:rPr>
        <w:t xml:space="preserve">Report Date:</w:t>
      </w:r>
      <w:r>
        <w:t xml:space="preserve"> </w:t>
      </w:r>
      <w:r>
        <w:t xml:space="preserve">Wednesday, July 29, 2026 (call likely ~10:00 a.m. ET, following Q1 pattern)</w:t>
      </w:r>
    </w:p>
    <w:p>
      <w:r>
        <w:pict>
          <v:rect style="width:0;height:1.5pt" o:hralign="center" o:hrstd="t" o:hr="t"/>
        </w:pict>
      </w:r>
    </w:p>
    <w:bookmarkStart w:id="9" w:name="Xfe96232f9a54b94fdf6d3f450236267538159b9"/>
    <w:p>
      <w:pPr>
        <w:pStyle w:val="Heading2"/>
      </w:pPr>
      <w:r>
        <w:t xml:space="preserve">1. Setup: A Stock Priced for Perfection</w:t>
      </w:r>
    </w:p>
    <w:p>
      <w:pPr>
        <w:pStyle w:val="FirstParagraph"/>
      </w:pPr>
      <w:r>
        <w:t xml:space="preserve">VTR shares have been on a torrid run into this print. The stock started 2026 around</w:t>
      </w:r>
      <w:r>
        <w:t xml:space="preserve"> </w:t>
      </w:r>
      <m:oMath>
        <m:r>
          <m:t>77</m:t>
        </m:r>
        <m:r>
          <m:rPr>
            <m:sty m:val="p"/>
          </m:rPr>
          <m:t>,</m:t>
        </m:r>
        <m:r>
          <m:t>d</m:t>
        </m:r>
        <m:r>
          <m:t>i</m:t>
        </m:r>
        <m:r>
          <m:t>p</m:t>
        </m:r>
        <m:r>
          <m:t>p</m:t>
        </m:r>
        <m:r>
          <m:t>e</m:t>
        </m:r>
        <m:r>
          <m:t>d</m:t>
        </m:r>
        <m:r>
          <m:t>t</m:t>
        </m:r>
        <m:r>
          <m:t>o</m:t>
        </m:r>
        <m:r>
          <m:t>t</m:t>
        </m:r>
        <m:r>
          <m:t>h</m:t>
        </m:r>
        <m:r>
          <m:t>e</m:t>
        </m:r>
        <m:r>
          <m:t>m</m:t>
        </m:r>
        <m:r>
          <m:t>i</m:t>
        </m:r>
        <m:r>
          <m:t>d</m:t>
        </m:r>
        <m:r>
          <m:rPr>
            <m:sty m:val="p"/>
          </m:rPr>
          <m:t>−</m:t>
        </m:r>
      </m:oMath>
      <w:r>
        <w:t xml:space="preserve">70s in January, and then began a steady climb after the Q1 print (April 28), rising from ~</w:t>
      </w:r>
      <m:oMath>
        <m:r>
          <m:t>85</m:t>
        </m:r>
        <m:r>
          <m:t>t</m:t>
        </m:r>
        <m:r>
          <m:t>o</m:t>
        </m:r>
        <m:r>
          <m:t>a</m:t>
        </m:r>
        <m:r>
          <m:t>n</m:t>
        </m:r>
        <m:r>
          <m:t>a</m:t>
        </m:r>
        <m:r>
          <m:t>l</m:t>
        </m:r>
        <m:r>
          <m:t>l</m:t>
        </m:r>
        <m:r>
          <m:rPr>
            <m:sty m:val="p"/>
          </m:rPr>
          <m:t>−</m:t>
        </m:r>
        <m:r>
          <m:t>t</m:t>
        </m:r>
        <m:r>
          <m:t>i</m:t>
        </m:r>
        <m:r>
          <m:t>m</m:t>
        </m:r>
        <m:r>
          <m:t>e</m:t>
        </m:r>
        <m:r>
          <m:rPr>
            <m:sty m:val="p"/>
          </m:rPr>
          <m:t>−</m:t>
        </m:r>
        <m:r>
          <m:t>h</m:t>
        </m:r>
        <m:r>
          <m:t>i</m:t>
        </m:r>
        <m:r>
          <m:t>g</m:t>
        </m:r>
        <m:r>
          <m:t>h</m:t>
        </m:r>
        <m:r>
          <m:t>o</m:t>
        </m:r>
        <m:r>
          <m:t>f</m:t>
        </m:r>
        <m:r>
          <m:rPr>
            <m:sty m:val="p"/>
          </m:rPr>
          <m:t>*</m:t>
        </m:r>
        <m:r>
          <m:rPr>
            <m:sty m:val="p"/>
          </m:rPr>
          <m:t>*</m:t>
        </m:r>
      </m:oMath>
      <w:r>
        <w:t xml:space="preserve">100.53 on July 24** before pulling back modestly to</w:t>
      </w:r>
      <w:r>
        <w:t xml:space="preserve"> </w:t>
      </w:r>
      <w:r>
        <w:rPr>
          <w:b/>
          <w:bCs/>
        </w:rPr>
        <w:t xml:space="preserve">$98.16 on July 28</w:t>
      </w:r>
      <w:r>
        <w:t xml:space="preserve"> </w:t>
      </w:r>
      <w:r>
        <w:t xml:space="preserve">(the day before earnings). That's roughly</w:t>
      </w:r>
      <w:r>
        <w:t xml:space="preserve"> </w:t>
      </w:r>
      <w:r>
        <w:rPr>
          <w:b/>
          <w:bCs/>
        </w:rPr>
        <w:t xml:space="preserve">+27% year-to-date</w:t>
      </w:r>
      <w:r>
        <w:t xml:space="preserve"> </w:t>
      </w:r>
      <w:r>
        <w:t xml:space="preserve">and nearly</w:t>
      </w:r>
      <w:r>
        <w:t xml:space="preserve"> </w:t>
      </w:r>
      <w:r>
        <w:rPr>
          <w:b/>
          <w:bCs/>
        </w:rPr>
        <w:t xml:space="preserve">+16% in the past month alone</w:t>
      </w:r>
      <w:r>
        <w:t xml:space="preserve">. The market is clearly pricing in continued upside surprises from the senior housing (SHOP) engine — which raises the bar for tomorrow's print and makes the reaction function asymmetric: an in-line quarter with cautious commentary could disappoint a stock trading near highs, while a genuine beat-and-raise is likely needed to sustain momentum.</w:t>
      </w:r>
    </w:p>
    <w:bookmarkEnd w:id="9"/>
    <w:bookmarkStart w:id="10" w:name="Xc4a569143e424f0dfefe6acc049c8802fd88a58"/>
    <w:p>
      <w:pPr>
        <w:pStyle w:val="Heading2"/>
      </w:pPr>
      <w:r>
        <w:t xml:space="preserve">2. Where Things Stood After Q1 2026</w:t>
      </w:r>
    </w:p>
    <w:p>
      <w:pPr>
        <w:pStyle w:val="FirstParagraph"/>
      </w:pPr>
      <w:r>
        <w:t xml:space="preserve">Ventas delivered a strong Q1 (reported April 27/28):</w:t>
      </w:r>
    </w:p>
    <w:p>
      <w:pPr>
        <w:pStyle w:val="Compact"/>
        <w:numPr>
          <w:ilvl w:val="0"/>
          <w:numId w:val="1001"/>
        </w:numPr>
      </w:pPr>
      <w:r>
        <w:t xml:space="preserve">Normalized FFO of $0.94/share, +9% y/y, with total company same-store NOI up 9% and</w:t>
      </w:r>
      <w:r>
        <w:t xml:space="preserve"> </w:t>
      </w:r>
      <w:r>
        <w:rPr>
          <w:b/>
          <w:bCs/>
        </w:rPr>
        <w:t xml:space="preserve">SHOP same-store cash NOI up over 15%</w:t>
      </w:r>
      <w:r>
        <w:t xml:space="preserve"> </w:t>
      </w:r>
      <w:r>
        <w:t xml:space="preserve">y/y, driven by 310 bps of occupancy growth and 5% RevPOR growth.</w:t>
      </w:r>
    </w:p>
    <w:p>
      <w:pPr>
        <w:pStyle w:val="Compact"/>
        <w:numPr>
          <w:ilvl w:val="0"/>
          <w:numId w:val="1001"/>
        </w:numPr>
      </w:pPr>
      <w:r>
        <w:t xml:space="preserve">Management raised full-year guidance at the time: Normalized FFO midpoint to</w:t>
      </w:r>
      <w:r>
        <w:t xml:space="preserve"> </w:t>
      </w:r>
      <w:r>
        <w:rPr>
          <w:b/>
          <w:bCs/>
        </w:rPr>
        <w:t xml:space="preserve">$3.86/share</w:t>
      </w:r>
      <w:r>
        <w:t xml:space="preserve"> </w:t>
      </w:r>
      <w:r>
        <w:t xml:space="preserve">(from</w:t>
      </w:r>
      <w:r>
        <w:t xml:space="preserve"> </w:t>
      </w:r>
      <m:oMath>
        <m:r>
          <m:t>3.83</m:t>
        </m:r>
        <m:r>
          <m:rPr>
            <m:sty m:val="p"/>
          </m:rPr>
          <m:t>)</m:t>
        </m:r>
        <m:r>
          <m:rPr>
            <m:sty m:val="p"/>
          </m:rPr>
          <m:t>,</m:t>
        </m:r>
        <m:r>
          <m:t>f</m:t>
        </m:r>
        <m:r>
          <m:t>u</m:t>
        </m:r>
        <m:r>
          <m:t>l</m:t>
        </m:r>
        <m:r>
          <m:t>l</m:t>
        </m:r>
        <m:r>
          <m:rPr>
            <m:sty m:val="p"/>
          </m:rPr>
          <m:t>−</m:t>
        </m:r>
        <m:r>
          <m:t>y</m:t>
        </m:r>
        <m:r>
          <m:t>e</m:t>
        </m:r>
        <m:r>
          <m:t>a</m:t>
        </m:r>
        <m:r>
          <m:t>r</m:t>
        </m:r>
        <m:r>
          <m:t>S</m:t>
        </m:r>
        <m:r>
          <m:t>H</m:t>
        </m:r>
        <m:r>
          <m:t>O</m:t>
        </m:r>
        <m:r>
          <m:t>P</m:t>
        </m:r>
        <m:r>
          <m:t>s</m:t>
        </m:r>
        <m:r>
          <m:t>a</m:t>
        </m:r>
        <m:r>
          <m:t>m</m:t>
        </m:r>
        <m:r>
          <m:t>e</m:t>
        </m:r>
        <m:r>
          <m:rPr>
            <m:sty m:val="p"/>
          </m:rPr>
          <m:t>−</m:t>
        </m:r>
        <m:r>
          <m:t>s</m:t>
        </m:r>
        <m:r>
          <m:t>t</m:t>
        </m:r>
        <m:r>
          <m:t>o</m:t>
        </m:r>
        <m:r>
          <m:t>r</m:t>
        </m:r>
        <m:r>
          <m:t>e</m:t>
        </m:r>
        <m:r>
          <m:t>N</m:t>
        </m:r>
        <m:r>
          <m:t>O</m:t>
        </m:r>
        <m:r>
          <m:t>I</m:t>
        </m:r>
        <m:r>
          <m:t>g</m:t>
        </m:r>
        <m:r>
          <m:t>r</m:t>
        </m:r>
        <m:r>
          <m:t>o</m:t>
        </m:r>
        <m:r>
          <m:t>w</m:t>
        </m:r>
        <m:r>
          <m:t>t</m:t>
        </m:r>
        <m:r>
          <m:t>h</m:t>
        </m:r>
        <m:r>
          <m:t>g</m:t>
        </m:r>
        <m:r>
          <m:t>u</m:t>
        </m:r>
        <m:r>
          <m:t>i</m:t>
        </m:r>
        <m:r>
          <m:t>d</m:t>
        </m:r>
        <m:r>
          <m:t>a</m:t>
        </m:r>
        <m:r>
          <m:t>n</m:t>
        </m:r>
        <m:r>
          <m:t>c</m:t>
        </m:r>
        <m:r>
          <m:t>e</m:t>
        </m:r>
        <m:r>
          <m:t>r</m:t>
        </m:r>
        <m:r>
          <m:t>a</m:t>
        </m:r>
        <m:r>
          <m:t>i</m:t>
        </m:r>
        <m:r>
          <m:t>s</m:t>
        </m:r>
        <m:r>
          <m:t>e</m:t>
        </m:r>
        <m:r>
          <m:t>d</m:t>
        </m:r>
        <m:r>
          <m:t>t</m:t>
        </m:r>
        <m:r>
          <m:t>o</m:t>
        </m:r>
        <m:r>
          <m:rPr>
            <m:sty m:val="p"/>
          </m:rPr>
          <m:t>*</m:t>
        </m:r>
        <m:r>
          <m:rPr>
            <m:sty m:val="p"/>
          </m:rPr>
          <m:t>*</m:t>
        </m:r>
        <m:r>
          <m:t>16</m:t>
        </m:r>
      </m:oMath>
      <w:r>
        <w:t xml:space="preserve">3.0 billion** (from $2.5 billion), reflecting $1.7 billion already closed year-to-date through April.</w:t>
      </w:r>
    </w:p>
    <w:p>
      <w:pPr>
        <w:pStyle w:val="Compact"/>
        <w:numPr>
          <w:ilvl w:val="0"/>
          <w:numId w:val="1001"/>
        </w:numPr>
      </w:pPr>
      <w:r>
        <w:t xml:space="preserve">Net debt-to-Further Adjusted EBITDA improved to</w:t>
      </w:r>
      <w:r>
        <w:t xml:space="preserve"> </w:t>
      </w:r>
      <w:r>
        <w:rPr>
          <w:b/>
          <w:bCs/>
        </w:rPr>
        <w:t xml:space="preserve">5.0x</w:t>
      </w:r>
      <w:r>
        <w:t xml:space="preserve">, the tenth straight quarter of sequential deleveraging, with $5.5 billion of liquidity.</w:t>
      </w:r>
    </w:p>
    <w:p>
      <w:pPr>
        <w:pStyle w:val="Compact"/>
        <w:numPr>
          <w:ilvl w:val="0"/>
          <w:numId w:val="1001"/>
        </w:numPr>
      </w:pPr>
      <w:r>
        <w:t xml:space="preserve">Management flagged that</w:t>
      </w:r>
      <w:r>
        <w:t xml:space="preserve"> </w:t>
      </w:r>
      <w:r>
        <w:rPr>
          <w:b/>
          <w:bCs/>
        </w:rPr>
        <w:t xml:space="preserve">May–September is the "key selling season"</w:t>
      </w:r>
      <w:r>
        <w:t xml:space="preserve"> </w:t>
      </w:r>
      <w:r>
        <w:t xml:space="preserve">for senior housing leasing and explicitly said full-year results hinge on execution during this window — meaning Q2 (which captures the season's early innings) is a critical data point for whether the raised occupancy guidance (~300 bps for the year) is tracking or needs another revision.</w:t>
      </w:r>
    </w:p>
    <w:p>
      <w:pPr>
        <w:pStyle w:val="FirstParagraph"/>
      </w:pPr>
      <w:r>
        <w:t xml:space="preserve">Implied math: with Q1 actual FFO of $0.94 and full-year guidance midpoint of</w:t>
      </w:r>
      <w:r>
        <w:t xml:space="preserve"> </w:t>
      </w:r>
      <m:oMath>
        <m:r>
          <m:t>3.86</m:t>
        </m:r>
        <m:r>
          <m:rPr>
            <m:sty m:val="p"/>
          </m:rPr>
          <m:t>,</m:t>
        </m:r>
        <m:r>
          <m:t>t</m:t>
        </m:r>
        <m:r>
          <m:t>h</m:t>
        </m:r>
        <m:r>
          <m:t>e</m:t>
        </m:r>
        <m:r>
          <m:t>r</m:t>
        </m:r>
        <m:r>
          <m:t>e</m:t>
        </m:r>
        <m:r>
          <m:t>m</m:t>
        </m:r>
        <m:r>
          <m:t>a</m:t>
        </m:r>
        <m:r>
          <m:t>i</m:t>
        </m:r>
        <m:r>
          <m:t>n</m:t>
        </m:r>
        <m:r>
          <m:t>i</m:t>
        </m:r>
        <m:r>
          <m:t>n</m:t>
        </m:r>
        <m:r>
          <m:t>g</m:t>
        </m:r>
        <m:r>
          <m:t>t</m:t>
        </m:r>
        <m:r>
          <m:t>h</m:t>
        </m:r>
        <m:r>
          <m:t>r</m:t>
        </m:r>
        <m:r>
          <m:t>e</m:t>
        </m:r>
        <m:r>
          <m:t>e</m:t>
        </m:r>
        <m:r>
          <m:t>q</m:t>
        </m:r>
        <m:r>
          <m:t>u</m:t>
        </m:r>
        <m:r>
          <m:t>a</m:t>
        </m:r>
        <m:r>
          <m:t>r</m:t>
        </m:r>
        <m:r>
          <m:t>t</m:t>
        </m:r>
        <m:r>
          <m:t>e</m:t>
        </m:r>
        <m:r>
          <m:t>r</m:t>
        </m:r>
        <m:r>
          <m:t>s</m:t>
        </m:r>
        <m:r>
          <m:t>n</m:t>
        </m:r>
        <m:r>
          <m:t>e</m:t>
        </m:r>
        <m:r>
          <m:t>e</m:t>
        </m:r>
        <m:r>
          <m:t>d</m:t>
        </m:r>
        <m:r>
          <m:t>t</m:t>
        </m:r>
        <m:r>
          <m:t>o</m:t>
        </m:r>
        <m:r>
          <m:t>a</m:t>
        </m:r>
        <m:r>
          <m:t>v</m:t>
        </m:r>
        <m:r>
          <m:t>e</m:t>
        </m:r>
        <m:r>
          <m:t>r</m:t>
        </m:r>
        <m:r>
          <m:t>a</m:t>
        </m:r>
        <m:r>
          <m:t>g</m:t>
        </m:r>
        <m:r>
          <m:t>e</m:t>
        </m:r>
        <m:r>
          <m:t> </m:t>
        </m:r>
      </m:oMath>
      <w:r>
        <w:t xml:space="preserve">0.97/share — suggesting the market/consensus is likely looking for</w:t>
      </w:r>
      <w:r>
        <w:t xml:space="preserve"> </w:t>
      </w:r>
      <w:r>
        <w:rPr>
          <w:b/>
          <w:bCs/>
        </w:rPr>
        <w:t xml:space="preserve">Normalized FFO in the high-</w:t>
      </w:r>
      <m:oMath>
        <m:r>
          <m:t>0.90</m:t>
        </m:r>
        <m:r>
          <m:t>s</m:t>
        </m:r>
        <m:r>
          <m:t>t</m:t>
        </m:r>
        <m:r>
          <m:t>o</m:t>
        </m:r>
        <m:r>
          <m:t> </m:t>
        </m:r>
      </m:oMath>
      <w:r>
        <w:rPr>
          <w:b/>
          <w:bCs/>
        </w:rPr>
        <w:t xml:space="preserve">1.00 for Q2</w:t>
      </w:r>
      <w:r>
        <w:t xml:space="preserve">, with sequential acceleration through the back half.</w:t>
      </w:r>
    </w:p>
    <w:bookmarkEnd w:id="10"/>
    <w:bookmarkStart w:id="11" w:name="X9005470b0cdc4ce17247defed412c2e5941f8fa"/>
    <w:p>
      <w:pPr>
        <w:pStyle w:val="Heading2"/>
      </w:pPr>
      <w:r>
        <w:t xml:space="preserve">3. Key Things to Watch in Tomorrow's Print</w:t>
      </w:r>
    </w:p>
    <w:p>
      <w:pPr>
        <w:pStyle w:val="FirstParagraph"/>
      </w:pPr>
      <w:r>
        <w:rPr>
          <w:b/>
          <w:bCs/>
        </w:rPr>
        <w:t xml:space="preserve">a) SHOP occupancy and RevPOR momentum.</w:t>
      </w:r>
      <w:r>
        <w:t xml:space="preserve"> </w:t>
      </w:r>
      <w:r>
        <w:t xml:space="preserve">U.S. SHOP occupancy exited Q1 at 90.4% same-store average (up 370 bps y/y for the U.S. specifically), with management noting the U.S. portfolio still averages only ~87% occupied — implying "significant runway." Watch whether occupancy gains held up or accelerated through the peak leasing months of April–June, and whether in-place rate increases (running ~8% at the start of the year, up from ~7% a year ago) are sustained.</w:t>
      </w:r>
    </w:p>
    <w:p>
      <w:pPr>
        <w:pStyle w:val="BodyText"/>
      </w:pPr>
      <w:r>
        <w:rPr>
          <w:b/>
          <w:bCs/>
        </w:rPr>
        <w:t xml:space="preserve">b) Margin/incremental margin trajectory.</w:t>
      </w:r>
      <w:r>
        <w:t xml:space="preserve"> </w:t>
      </w:r>
      <w:r>
        <w:t xml:space="preserve">Management has guided incremental SHOP margins around 50% this year (vs. a longer-term goal of 60-70% once occupancy gains moderate), with Q1 NOI margin expansion of 170 bps. Full-year opex growth guidance was raised from 5% to 5.5% (largely weather/volume driven in Q1) — worth checking if that pressure persisted into Q2.</w:t>
      </w:r>
    </w:p>
    <w:p>
      <w:pPr>
        <w:pStyle w:val="BodyText"/>
      </w:pPr>
      <w:r>
        <w:rPr>
          <w:b/>
          <w:bCs/>
        </w:rPr>
        <w:t xml:space="preserve">c) Investment pace and cap rates.</w:t>
      </w:r>
      <w:r>
        <w:t xml:space="preserve"> </w:t>
      </w:r>
      <w:r>
        <w:t xml:space="preserve">Ventas raised 2026 investment guidance to $3 billion, had closed $1.7 billion through Q1/April, and completed a notable $540 million Revel portfolio acquisition (a value-add, lease-up opportunity at a discount to replacement cost, targeting mid-teens unlevered IRRs). Watch for an updated year-to-date investment total heading into Q2 results, commentary on whether cap rates (management noted a drift from the 7s into the high-6s, printing ~6.9% excluding Revel) have compressed further amid</w:t>
      </w:r>
      <w:r>
        <w:t xml:space="preserve"> </w:t>
      </w:r>
      <w:r>
        <w:rPr>
          <w:b/>
          <w:bCs/>
        </w:rPr>
        <w:t xml:space="preserve">increased competition from PE and other capital</w:t>
      </w:r>
      <w:r>
        <w:t xml:space="preserve"> </w:t>
      </w:r>
      <w:r>
        <w:t xml:space="preserve">entering senior housing, and whether the $3 billion guide gets raised again — a pattern that has repeated all year.</w:t>
      </w:r>
    </w:p>
    <w:p>
      <w:pPr>
        <w:pStyle w:val="BodyText"/>
      </w:pPr>
      <w:r>
        <w:rPr>
          <w:b/>
          <w:bCs/>
        </w:rPr>
        <w:t xml:space="preserve">d) Balance sheet/equity funding.</w:t>
      </w:r>
      <w:r>
        <w:t xml:space="preserve"> </w:t>
      </w:r>
      <w:r>
        <w:t xml:space="preserve">Ventas had $1.6 billion of unsettled forward equity outstanding as of Q1 to fund 2026 investment activity, after settling $800 million in Q1. Track further equity settlement and whether leverage continues its "tenth consecutive quarter" of sequential improvement (5.0x at Q1).</w:t>
      </w:r>
    </w:p>
    <w:p>
      <w:pPr>
        <w:pStyle w:val="BodyText"/>
      </w:pPr>
      <w:r>
        <w:rPr>
          <w:b/>
          <w:bCs/>
        </w:rPr>
        <w:t xml:space="preserve">e) Brookdale transition and non-SHOP segments.</w:t>
      </w:r>
      <w:r>
        <w:t xml:space="preserve"> </w:t>
      </w:r>
      <w:r>
        <w:t xml:space="preserve">The 45 communities transitioned from the Brookdale lease into SHOP were expected to complete the bulk of CapEx investment "by next month" (i.e., around May 2026), with management targeting a doubling of the ~$50 million NOI run-rate over the next few years — 2026 is described as the "setup year," with 2027+ as the payoff. Outpatient Medical &amp; Research (OMAR) grew same-store cash NOI 2.4% in Q1 with occupancy near 91% (a seventh straight quarter of gains), and the triple-net segment benefited from a 3.5% Brookdale cash rent escalator effective January 1, 2026 — both segments are now a shrinking, non-core share of the portfolio (SHOP is &gt;60% of the business) but still need to hit their modest growth targets to avoid dragging on the print.</w:t>
      </w:r>
    </w:p>
    <w:bookmarkEnd w:id="11"/>
    <w:bookmarkStart w:id="12" w:name="X6a7690d54da12e0d46e11f6a1b1d6426f872a72"/>
    <w:p>
      <w:pPr>
        <w:pStyle w:val="Heading2"/>
      </w:pPr>
      <w:r>
        <w:t xml:space="preserve">4. Sector Read-Through: Welltower's Blowout Quarter Raises the Bar</w:t>
      </w:r>
    </w:p>
    <w:p>
      <w:pPr>
        <w:pStyle w:val="FirstParagraph"/>
      </w:pPr>
      <w:r>
        <w:t xml:space="preserve">Peer</w:t>
      </w:r>
      <w:r>
        <w:t xml:space="preserve"> </w:t>
      </w:r>
      <w:r>
        <w:rPr>
          <w:b/>
          <w:bCs/>
        </w:rPr>
        <w:t xml:space="preserve">Welltower (WELL)</w:t>
      </w:r>
      <w:r>
        <w:t xml:space="preserve"> </w:t>
      </w:r>
      <w:r>
        <w:t xml:space="preserve">reported Q2 2026 results just one day ahead of Ventas (July 27), and the numbers were exceptionally strong — a useful read-across given both companies compete in the same senior housing markets. Welltower posted</w:t>
      </w:r>
      <w:r>
        <w:t xml:space="preserve"> </w:t>
      </w:r>
      <w:r>
        <w:rPr>
          <w:b/>
          <w:bCs/>
        </w:rPr>
        <w:t xml:space="preserve">normalized FFO of $1.60/share, up 25.0% year-over-year</w:t>
      </w:r>
      <w:r>
        <w:t xml:space="preserve">, with</w:t>
      </w:r>
      <w:r>
        <w:t xml:space="preserve"> </w:t>
      </w:r>
      <w:r>
        <w:rPr>
          <w:b/>
          <w:bCs/>
        </w:rPr>
        <w:t xml:space="preserve">total portfolio same-store NOI growth of 15.5%</w:t>
      </w:r>
      <w:r>
        <w:t xml:space="preserve">, driven by</w:t>
      </w:r>
      <w:r>
        <w:t xml:space="preserve"> </w:t>
      </w:r>
      <w:r>
        <w:rPr>
          <w:b/>
          <w:bCs/>
        </w:rPr>
        <w:t xml:space="preserve">Seniors Housing Operating (SHO) same-store NOI growth of 20.5%</w:t>
      </w:r>
      <w:r>
        <w:t xml:space="preserve">, on 330 bps of occupancy growth and 5.2% RevPOR growth. Welltower also raised full-year normalized FFO guidance meaningfully (to</w:t>
      </w:r>
      <w:r>
        <w:t xml:space="preserve"> </w:t>
      </w:r>
      <m:oMath>
        <m:r>
          <m:t>6.36</m:t>
        </m:r>
        <m:r>
          <m:rPr>
            <m:sty m:val="p"/>
          </m:rPr>
          <m:t>–</m:t>
        </m:r>
      </m:oMath>
      <w:r>
        <w:t xml:space="preserve">6.44 from</w:t>
      </w:r>
      <w:r>
        <w:t xml:space="preserve"> </w:t>
      </w:r>
      <m:oMath>
        <m:r>
          <m:t>6.21</m:t>
        </m:r>
        <m:r>
          <m:rPr>
            <m:sty m:val="p"/>
          </m:rPr>
          <m:t>–</m:t>
        </m:r>
      </m:oMath>
      <w:r>
        <w:t xml:space="preserve">6.35) and lifted its SHO same-store NOI growth outlook to</w:t>
      </w:r>
      <w:r>
        <w:t xml:space="preserve"> </w:t>
      </w:r>
      <w:r>
        <w:rPr>
          <w:b/>
          <w:bCs/>
        </w:rPr>
        <w:t xml:space="preserve">18.5%–21.5%</w:t>
      </w:r>
      <w:r>
        <w:t xml:space="preserve"> </w:t>
      </w:r>
      <w:r>
        <w:t xml:space="preserve">for the year, while also hiking its quarterly dividend 15%.</w:t>
      </w:r>
    </w:p>
    <w:p>
      <w:pPr>
        <w:pStyle w:val="BodyText"/>
      </w:pPr>
      <w:r>
        <w:t xml:space="preserve">This is a bullish signal for the senior housing demand backdrop VTR operates in — occupancy and RevPOR trends at Welltower this quarter were, if anything, stronger than what Ventas posted in Q1. It raises the probability that Ventas' own Q2 occupancy/NOI growth outperforms its own already-raised guidance, but it also means investors will benchmark VTR's SHOP growth (16% full-year guide) against Welltower's newly-lifted 18.5-21.5% SHOP guide — any relative underperformance versus this peer could weigh on sentiment even if VTR's absolute numbers are solid.</w:t>
      </w:r>
    </w:p>
    <w:bookmarkEnd w:id="12"/>
    <w:bookmarkStart w:id="13" w:name="X39d61206c10ebc112a63aaeb96bfd88d60bc9c8"/>
    <w:p>
      <w:pPr>
        <w:pStyle w:val="Heading2"/>
      </w:pPr>
      <w:r>
        <w:t xml:space="preserve">5. Other Items of Note</w:t>
      </w:r>
    </w:p>
    <w:p>
      <w:pPr>
        <w:pStyle w:val="Compact"/>
        <w:numPr>
          <w:ilvl w:val="0"/>
          <w:numId w:val="1002"/>
        </w:numPr>
      </w:pPr>
      <w:r>
        <w:rPr>
          <w:b/>
          <w:bCs/>
        </w:rPr>
        <w:t xml:space="preserve">Management transition:</w:t>
      </w:r>
      <w:r>
        <w:t xml:space="preserve"> </w:t>
      </w:r>
      <w:r>
        <w:t xml:space="preserve">Ventas disclosed in a June 15, 2026 8-K that General Counsel Carey S. Roberts resigned effective June 26, 2026 to join Blackstone; interim GC duties were assigned internally. This is a minor governance item unlikely to move the stock but may draw a question on the call.</w:t>
      </w:r>
    </w:p>
    <w:p>
      <w:pPr>
        <w:pStyle w:val="Compact"/>
        <w:numPr>
          <w:ilvl w:val="0"/>
          <w:numId w:val="1002"/>
        </w:numPr>
      </w:pPr>
      <w:r>
        <w:rPr>
          <w:b/>
          <w:bCs/>
        </w:rPr>
        <w:t xml:space="preserve">Demographic tailwind narrative:</w:t>
      </w:r>
      <w:r>
        <w:t xml:space="preserve"> </w:t>
      </w:r>
      <w:r>
        <w:t xml:space="preserve">Management continues to emphasize that the nearly 70 million Baby Boomers are just beginning to turn 80 in 2026, with senior housing construction starts still near historic lows (~1,500 units in Q1) and supply unlikely to meaningfully return given rents remain 20-40% below replacement-cost economics — a multi-year structural bull case investors will want reaffirmed.</w:t>
      </w:r>
    </w:p>
    <w:bookmarkEnd w:id="13"/>
    <w:bookmarkStart w:id="14" w:name="Xd4bf6205a9bfa183b58f00ca467c208cbf0bac7"/>
    <w:p>
      <w:pPr>
        <w:pStyle w:val="Heading2"/>
      </w:pPr>
      <w:r>
        <w:t xml:space="preserve">6. Bottom Line for Investors</w:t>
      </w:r>
    </w:p>
    <w:p>
      <w:pPr>
        <w:pStyle w:val="FirstParagraph"/>
      </w:pPr>
      <w:r>
        <w:t xml:space="preserve">Going into this print, Ventas is a "prove it again" story: the stock has already run up sharply on the strength of a fifth consecutive year of double-digit SHOP growth, a raised 2026 guide, an active $3 billion acquisition pipeline, and a strengthening balance sheet (5.0x leverage, $5.5B liquidity). The bar has been reinforced further by Welltower's very strong Q2 print and guidance raise just a day prior. For VTR's Q2 report to sustain the stock's momentum, investors will likely want to see: (1) SHOP occupancy/RevPOR trends holding or accelerating into the key May–September selling season, (2) another raise to full-year guidance (FFO, SHOP NOI growth, and/or investment volume), and (3) continued deleveraging and disciplined, accretive capital deployment even as competition for senior housing assets intensifies and cap rates compress. Given how much good news is already priced in, the risk skews toward a "sell the news" reaction unless the beat-and-raise is decisive.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2026-07-29T02:18:24Z</dcterms:created>
  <dcterms:modified xsi:type="dcterms:W3CDTF">2026-07-29T02:18:24Z</dcterms:modified>
</cp:coreProperties>
</file>

<file path=docProps/custom.xml><?xml version="1.0" encoding="utf-8"?>
<Properties xmlns="http://schemas.openxmlformats.org/officeDocument/2006/custom-properties" xmlns:vt="http://schemas.openxmlformats.org/officeDocument/2006/docPropsVTypes"/>
</file>