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tr-earnings-predictions--2026-07-29"/>
    <w:p>
      <w:pPr>
        <w:pStyle w:val="Heading1"/>
      </w:pPr>
      <w:r>
        <w:t xml:space="preserve">VTR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Normalized FFO/share (2026 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~$0.97 vs. cons $0.96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(2026 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~$1.70B vs. cons $1.68B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SHOP same-store cash NOI growth (2026 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~16.2% vs. cons 15.5%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Normalized FFO/share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~$3.90 midpoint vs. cons $3.88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SHOP same-store cash NOI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~16.5% midpoint vs. cons 16.0%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+1.3% (FADE)</w:t>
            </w:r>
          </w:p>
        </w:tc>
        <w:tc>
          <w:tcPr/>
          <w:p>
            <w:pPr>
              <w:pStyle w:val="Compact"/>
            </w:pPr>
            <w:r>
              <w:t xml:space="preserve">The initial operating beat and guidance raise should support the stock, but FY2026 guidance of ~$3.90 versus consensus of</w:t>
            </w:r>
            <w:r>
              <w:t xml:space="preserve"> </w:t>
            </w:r>
            <m:oMath>
              <m:r>
                <m:t>3.88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1.99 of second-half FFO versus consensus near $1.98; limited out-period estimate upside and the premium valuation should cause part of the day-1 gain to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2026-07-29T02:17:24Z</dcterms:created>
  <dcterms:modified xsi:type="dcterms:W3CDTF">2026-07-29T02:17:24Z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