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c51a22e95dceef27780cad05aa054e057df8029"/>
    <w:p>
      <w:pPr>
        <w:pStyle w:val="Heading1"/>
      </w:pPr>
      <w:r>
        <w:t xml:space="preserve">Ventas (NYSE: VTR) — 2026 Q2 Earnings Preview</w:t>
      </w:r>
    </w:p>
    <w:p>
      <w:pPr>
        <w:pStyle w:val="BlockText"/>
      </w:pPr>
      <w:r>
        <w:rPr>
          <w:b/>
          <w:bCs/>
        </w:rPr>
        <w:t xml:space="preserve">Timing clarification:</w:t>
      </w:r>
      <w:r>
        <w:t xml:space="preserve"> </w:t>
      </w:r>
      <w:r>
        <w:t xml:space="preserve">Ventas is scheduled to release Q2 results</w:t>
      </w:r>
      <w:r>
        <w:t xml:space="preserve"> </w:t>
      </w:r>
      <w:r>
        <w:rPr>
          <w:b/>
          <w:bCs/>
        </w:rPr>
        <w:t xml:space="preserve">today, Wednesday, July 29, 2026, after the market closes</w:t>
      </w:r>
      <w:r>
        <w:t xml:space="preserve">. The earnings call is</w:t>
      </w:r>
      <w:r>
        <w:t xml:space="preserve"> </w:t>
      </w:r>
      <w:r>
        <w:rPr>
          <w:b/>
          <w:bCs/>
        </w:rPr>
        <w:t xml:space="preserve">tomorrow, Thursday, July 30, at 10:00 a.m. ET</w:t>
      </w:r>
      <w:r>
        <w:t xml:space="preserve">. (</w:t>
      </w:r>
      <w:hyperlink r:id="rId9">
        <w:r>
          <w:rPr>
            <w:rStyle w:val="Hyperlink"/>
          </w:rPr>
          <w:t xml:space="preserve">ir.ventasreit.com</w:t>
        </w:r>
      </w:hyperlink>
      <w:r>
        <w:t xml:space="preserve">)</w:t>
      </w:r>
    </w:p>
    <w:bookmarkStart w:id="10" w:name="executive-summary"/>
    <w:p>
      <w:pPr>
        <w:pStyle w:val="Heading2"/>
      </w:pPr>
      <w:r>
        <w:t xml:space="preserve">Executive summary</w:t>
      </w:r>
    </w:p>
    <w:p>
      <w:pPr>
        <w:pStyle w:val="FirstParagraph"/>
      </w:pPr>
      <w:r>
        <w:t xml:space="preserve">Ventas enters the quarter with one of the strongest operating setups in healthcare real estate: accelerating senior-housing demand, limited new supply, substantial remaining occupancy upside, and a well-funded acquisition pipeline.</w:t>
      </w:r>
    </w:p>
    <w:p>
      <w:pPr>
        <w:pStyle w:val="BodyText"/>
      </w:pPr>
      <w:r>
        <w:t xml:space="preserve">The central question is no longer whether the Senior Housing Operating Portfolio, or</w:t>
      </w:r>
      <w:r>
        <w:t xml:space="preserve"> </w:t>
      </w:r>
      <w:r>
        <w:rPr>
          <w:b/>
          <w:bCs/>
        </w:rPr>
        <w:t xml:space="preserve">SHOP</w:t>
      </w:r>
      <w:r>
        <w:t xml:space="preserve">, is growing. It is whether growth is strong enough—and durable enough—to support expectations now embedded in the stock.</w:t>
      </w:r>
    </w:p>
    <w:p>
      <w:pPr>
        <w:pStyle w:val="BodyText"/>
      </w:pPr>
      <w:r>
        <w:t xml:space="preserve">Three things should determine the reaction:</w:t>
      </w:r>
    </w:p>
    <w:p>
      <w:pPr>
        <w:pStyle w:val="Compact"/>
        <w:numPr>
          <w:ilvl w:val="0"/>
          <w:numId w:val="1001"/>
        </w:numPr>
      </w:pPr>
      <w:r>
        <w:rPr>
          <w:b/>
          <w:bCs/>
        </w:rPr>
        <w:t xml:space="preserve">SHOP occupancy and same-store NOI</w:t>
      </w:r>
      <w:r>
        <w:t xml:space="preserve">, particularly evidence that momentum persisted into the May–September selling season.</w:t>
      </w:r>
    </w:p>
    <w:p>
      <w:pPr>
        <w:pStyle w:val="Compact"/>
        <w:numPr>
          <w:ilvl w:val="0"/>
          <w:numId w:val="1001"/>
        </w:numPr>
      </w:pPr>
      <w:r>
        <w:rPr>
          <w:b/>
          <w:bCs/>
        </w:rPr>
        <w:t xml:space="preserve">Full-year guidance</w:t>
      </w:r>
      <w:r>
        <w:t xml:space="preserve">, where consensus already sits near the top of management’s range.</w:t>
      </w:r>
    </w:p>
    <w:p>
      <w:pPr>
        <w:pStyle w:val="Compact"/>
        <w:numPr>
          <w:ilvl w:val="0"/>
          <w:numId w:val="1001"/>
        </w:numPr>
      </w:pPr>
      <w:r>
        <w:rPr>
          <w:b/>
          <w:bCs/>
        </w:rPr>
        <w:t xml:space="preserve">Acquisition economics and funding</w:t>
      </w:r>
      <w:r>
        <w:t xml:space="preserve">, including whether Ventas can sustain attractive returns while issuing substantial equity.</w:t>
      </w:r>
    </w:p>
    <w:p>
      <w:pPr>
        <w:pStyle w:val="FirstParagraph"/>
      </w:pPr>
      <w:r>
        <w:t xml:space="preserve">A result near consensus with unchanged guidance could be received as merely adequate. A more compelling report would pair strong SHOP operating data with another guidance increase, continued leverage improvement, and evidence that recent acquisitions are meeting underwriting.</w:t>
      </w:r>
    </w:p>
    <w:p>
      <w:r>
        <w:pict>
          <v:rect style="width:0;height:1.5pt" o:hralign="center" o:hrstd="t" o:hr="t"/>
        </w:pict>
      </w:r>
    </w:p>
    <w:bookmarkEnd w:id="10"/>
    <w:bookmarkStart w:id="12"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reported</w:t>
            </w:r>
          </w:p>
        </w:tc>
        <w:tc>
          <w:tcPr/>
          <w:p>
            <w:pPr>
              <w:pStyle w:val="Compact"/>
              <w:jc w:val="right"/>
            </w:pPr>
            <w:r>
              <w:t xml:space="preserve">Approx. YoY change</w:t>
            </w:r>
          </w:p>
        </w:tc>
      </w:tr>
      <w:tr>
        <w:tc>
          <w:tcPr/>
          <w:p>
            <w:pPr>
              <w:pStyle w:val="Compact"/>
            </w:pPr>
            <w:r>
              <w:t xml:space="preserve">Normalized FFO/share</w:t>
            </w:r>
          </w:p>
        </w:tc>
        <w:tc>
          <w:tcPr/>
          <w:p>
            <w:pPr>
              <w:pStyle w:val="Compact"/>
              <w:jc w:val="right"/>
            </w:pPr>
            <w:r>
              <w:rPr>
                <w:b/>
                <w:bCs/>
              </w:rPr>
              <w:t xml:space="preserve">$0.96</w:t>
            </w:r>
          </w:p>
        </w:tc>
        <w:tc>
          <w:tcPr/>
          <w:p>
            <w:pPr>
              <w:pStyle w:val="Compact"/>
              <w:jc w:val="right"/>
            </w:pPr>
            <w:r>
              <w:t xml:space="preserve">$0.87</w:t>
            </w:r>
          </w:p>
        </w:tc>
        <w:tc>
          <w:tcPr/>
          <w:p>
            <w:pPr>
              <w:pStyle w:val="Compact"/>
              <w:jc w:val="right"/>
            </w:pPr>
            <w:r>
              <w:rPr>
                <w:b/>
                <w:bCs/>
              </w:rPr>
              <w:t xml:space="preserve">+10%</w:t>
            </w:r>
          </w:p>
        </w:tc>
      </w:tr>
      <w:tr>
        <w:tc>
          <w:tcPr/>
          <w:p>
            <w:pPr>
              <w:pStyle w:val="Compact"/>
            </w:pPr>
            <w:r>
              <w:t xml:space="preserve">Revenue</w:t>
            </w:r>
          </w:p>
        </w:tc>
        <w:tc>
          <w:tcPr/>
          <w:p>
            <w:pPr>
              <w:pStyle w:val="Compact"/>
              <w:jc w:val="right"/>
            </w:pPr>
            <w:r>
              <w:rPr>
                <w:b/>
                <w:bCs/>
              </w:rPr>
              <w:t xml:space="preserve">$1.68B</w:t>
            </w:r>
          </w:p>
        </w:tc>
        <w:tc>
          <w:tcPr/>
          <w:p>
            <w:pPr>
              <w:pStyle w:val="Compact"/>
              <w:jc w:val="right"/>
            </w:pPr>
            <w:r>
              <w:t xml:space="preserve">$1.42B</w:t>
            </w:r>
          </w:p>
        </w:tc>
        <w:tc>
          <w:tcPr/>
          <w:p>
            <w:pPr>
              <w:pStyle w:val="Compact"/>
              <w:jc w:val="right"/>
            </w:pPr>
            <w:r>
              <w:rPr>
                <w:b/>
                <w:bCs/>
              </w:rPr>
              <w:t xml:space="preserve">+18%</w:t>
            </w:r>
          </w:p>
        </w:tc>
      </w:tr>
      <w:tr>
        <w:tc>
          <w:tcPr/>
          <w:p>
            <w:pPr>
              <w:pStyle w:val="Compact"/>
            </w:pPr>
            <w:r>
              <w:t xml:space="preserve">GAAP EPS</w:t>
            </w:r>
          </w:p>
        </w:tc>
        <w:tc>
          <w:tcPr/>
          <w:p>
            <w:pPr>
              <w:pStyle w:val="Compact"/>
              <w:jc w:val="right"/>
            </w:pPr>
            <w:r>
              <w:t xml:space="preserve">Approximately</w:t>
            </w:r>
            <w:r>
              <w:t xml:space="preserve"> </w:t>
            </w:r>
            <w:r>
              <w:rPr>
                <w:b/>
                <w:bCs/>
              </w:rPr>
              <w:t xml:space="preserve">$0.14</w:t>
            </w:r>
          </w:p>
        </w:tc>
        <w:tc>
          <w:tcPr/>
          <w:p>
            <w:pPr>
              <w:pStyle w:val="Compact"/>
              <w:jc w:val="right"/>
            </w:pPr>
            <w:r>
              <w:t xml:space="preserve">$0.15</w:t>
            </w:r>
          </w:p>
        </w:tc>
        <w:tc>
          <w:tcPr/>
          <w:p>
            <w:pPr>
              <w:pStyle w:val="Compact"/>
              <w:jc w:val="right"/>
            </w:pPr>
            <w:r>
              <w:t xml:space="preserve">Down modestly</w:t>
            </w:r>
          </w:p>
        </w:tc>
      </w:tr>
    </w:tbl>
    <w:p>
      <w:pPr>
        <w:pStyle w:val="BodyText"/>
      </w:pPr>
      <w:r>
        <w:t xml:space="preserve">The available estimate range for normalized FFO is roughly</w:t>
      </w:r>
      <w:r>
        <w:t xml:space="preserve"> </w:t>
      </w:r>
      <m:oMath>
        <m:r>
          <m:t>0.94</m:t>
        </m:r>
        <m:r>
          <m:rPr>
            <m:sty m:val="p"/>
          </m:rPr>
          <m:t>–</m:t>
        </m:r>
      </m:oMath>
      <w:r>
        <w:rPr>
          <w:b/>
          <w:bCs/>
        </w:rPr>
        <w:t xml:space="preserve">0.98</w:t>
      </w:r>
      <w:r>
        <w:t xml:space="preserve">, based on seven estimates. Full-year consensus is</w:t>
      </w:r>
      <w:r>
        <w:t xml:space="preserve"> </w:t>
      </w:r>
      <m:oMath>
        <m:r>
          <m:t>3.88</m:t>
        </m:r>
        <m:r>
          <m:rPr>
            <m:sty m:val="p"/>
          </m:rPr>
          <m:t>*</m:t>
        </m:r>
        <m:r>
          <m:rPr>
            <m:sty m:val="p"/>
          </m:rPr>
          <m:t>*</m:t>
        </m:r>
        <m:r>
          <m:rPr>
            <m:sty m:val="p"/>
          </m:rPr>
          <m:t>,</m:t>
        </m:r>
        <m:r>
          <m:t>v</m:t>
        </m:r>
        <m:r>
          <m:t>e</m:t>
        </m:r>
        <m:r>
          <m:t>r</m:t>
        </m:r>
        <m:r>
          <m:t>s</m:t>
        </m:r>
        <m:r>
          <m:t>u</m:t>
        </m:r>
        <m:r>
          <m:t>s</m:t>
        </m:r>
        <m:r>
          <m:t>m</m:t>
        </m:r>
        <m:r>
          <m:t>a</m:t>
        </m:r>
        <m:r>
          <m:t>n</m:t>
        </m:r>
        <m:r>
          <m:t>a</m:t>
        </m:r>
        <m:r>
          <m:t>g</m:t>
        </m:r>
        <m:r>
          <m:t>e</m:t>
        </m:r>
        <m:r>
          <m:t>m</m:t>
        </m:r>
        <m:r>
          <m:t>e</m:t>
        </m:r>
        <m:r>
          <m:t>n</m:t>
        </m:r>
        <m:r>
          <m:t>t</m:t>
        </m:r>
        <m:r>
          <m:rPr>
            <m:sty m:val="p"/>
          </m:rPr>
          <m:t>’</m:t>
        </m:r>
        <m:r>
          <m:t>s</m:t>
        </m:r>
        <m:r>
          <m:t>c</m:t>
        </m:r>
        <m:r>
          <m:t>u</m:t>
        </m:r>
        <m:r>
          <m:t>r</m:t>
        </m:r>
        <m:r>
          <m:t>r</m:t>
        </m:r>
        <m:r>
          <m:t>e</m:t>
        </m:r>
        <m:r>
          <m:t>n</m:t>
        </m:r>
        <m:r>
          <m:t>t</m:t>
        </m:r>
        <m:r>
          <m:rPr>
            <m:sty m:val="p"/>
          </m:rPr>
          <m:t>*</m:t>
        </m:r>
        <m:r>
          <m:rPr>
            <m:sty m:val="p"/>
          </m:rPr>
          <m:t>*</m:t>
        </m:r>
      </m:oMath>
      <w:r>
        <w:rPr>
          <w:b/>
          <w:bCs/>
        </w:rPr>
        <w:t xml:space="preserve">3.82–$3.89</w:t>
      </w:r>
      <w:r>
        <w:t xml:space="preserve"> </w:t>
      </w:r>
      <w:r>
        <w:t xml:space="preserve">range. (</w:t>
      </w:r>
      <w:hyperlink r:id="rId11">
        <w:r>
          <w:rPr>
            <w:rStyle w:val="Hyperlink"/>
          </w:rPr>
          <w:t xml:space="preserve">barchart.com</w:t>
        </w:r>
      </w:hyperlink>
      <w:r>
        <w:t xml:space="preserve">)</w:t>
      </w:r>
    </w:p>
    <w:p>
      <w:pPr>
        <w:pStyle w:val="BodyText"/>
      </w:pPr>
      <w:r>
        <w:t xml:space="preserve">That positioning matters:</w:t>
      </w:r>
      <w:r>
        <w:t xml:space="preserve"> </w:t>
      </w:r>
      <w:r>
        <w:rPr>
          <w:b/>
          <w:bCs/>
        </w:rPr>
        <w:t xml:space="preserve">the Street is already underwriting a result near the top of Ventas’s annual range</w:t>
      </w:r>
      <w:r>
        <w:t xml:space="preserve">. Investors should therefore focus more on guidance, SHOP indicators, and management commentary than on a one- or two-cent quarterly FFO beat.</w:t>
      </w:r>
    </w:p>
    <w:p>
      <w:pPr>
        <w:pStyle w:val="BodyText"/>
      </w:pPr>
      <w:r>
        <w:rPr>
          <w:i/>
          <w:iCs/>
        </w:rPr>
        <w:t xml:space="preserve">Note: Ventas changed its normalized FFO presentation beginning in Q1 2026 to exclude non-cash stock-based compensation and updated prior periods for comparability. Company-reported year-over-year comparisons should be used rather than unrecast historical figures.</w:t>
      </w:r>
    </w:p>
    <w:p>
      <w:r>
        <w:pict>
          <v:rect style="width:0;height:1.5pt" o:hralign="center" o:hrstd="t" o:hr="t"/>
        </w:pict>
      </w:r>
    </w:p>
    <w:bookmarkEnd w:id="12"/>
    <w:bookmarkStart w:id="14" w:name="the-setup-from-q1"/>
    <w:p>
      <w:pPr>
        <w:pStyle w:val="Heading2"/>
      </w:pPr>
      <w:r>
        <w:t xml:space="preserve">The setup from Q1</w:t>
      </w:r>
    </w:p>
    <w:p>
      <w:pPr>
        <w:pStyle w:val="FirstParagraph"/>
      </w:pPr>
      <w:r>
        <w:t xml:space="preserve">Ventas entered Q2 with considerable momentum:</w:t>
      </w:r>
    </w:p>
    <w:p>
      <w:pPr>
        <w:pStyle w:val="Compact"/>
        <w:numPr>
          <w:ilvl w:val="0"/>
          <w:numId w:val="1002"/>
        </w:numPr>
      </w:pPr>
      <w:r>
        <w:t xml:space="preserve">Normalized FFO/share increased</w:t>
      </w:r>
      <w:r>
        <w:t xml:space="preserve"> </w:t>
      </w:r>
      <w:r>
        <w:rPr>
          <w:b/>
          <w:bCs/>
        </w:rPr>
        <w:t xml:space="preserve">9%</w:t>
      </w:r>
      <w:r>
        <w:t xml:space="preserve"> </w:t>
      </w:r>
      <w:r>
        <w:t xml:space="preserve">to</w:t>
      </w:r>
      <w:r>
        <w:t xml:space="preserve"> </w:t>
      </w:r>
      <w:r>
        <w:rPr>
          <w:b/>
          <w:bCs/>
        </w:rPr>
        <w:t xml:space="preserve">$0.94</w:t>
      </w:r>
      <w:r>
        <w:t xml:space="preserve">.</w:t>
      </w:r>
    </w:p>
    <w:p>
      <w:pPr>
        <w:pStyle w:val="Compact"/>
        <w:numPr>
          <w:ilvl w:val="0"/>
          <w:numId w:val="1002"/>
        </w:numPr>
      </w:pPr>
      <w:r>
        <w:t xml:space="preserve">Total-company same-store cash NOI grew</w:t>
      </w:r>
      <w:r>
        <w:t xml:space="preserve"> </w:t>
      </w:r>
      <w:r>
        <w:rPr>
          <w:b/>
          <w:bCs/>
        </w:rPr>
        <w:t xml:space="preserve">9%</w:t>
      </w:r>
      <w:r>
        <w:t xml:space="preserve">.</w:t>
      </w:r>
    </w:p>
    <w:p>
      <w:pPr>
        <w:pStyle w:val="Compact"/>
        <w:numPr>
          <w:ilvl w:val="0"/>
          <w:numId w:val="1002"/>
        </w:numPr>
      </w:pPr>
      <w:r>
        <w:t xml:space="preserve">SHOP same-store cash NOI grew more than</w:t>
      </w:r>
      <w:r>
        <w:t xml:space="preserve"> </w:t>
      </w:r>
      <w:r>
        <w:rPr>
          <w:b/>
          <w:bCs/>
        </w:rPr>
        <w:t xml:space="preserve">15%</w:t>
      </w:r>
      <w:r>
        <w:t xml:space="preserve">.</w:t>
      </w:r>
    </w:p>
    <w:p>
      <w:pPr>
        <w:pStyle w:val="Compact"/>
        <w:numPr>
          <w:ilvl w:val="0"/>
          <w:numId w:val="1002"/>
        </w:numPr>
      </w:pPr>
      <w:r>
        <w:t xml:space="preserve">SHOP revenue grew nearly</w:t>
      </w:r>
      <w:r>
        <w:t xml:space="preserve"> </w:t>
      </w:r>
      <w:r>
        <w:rPr>
          <w:b/>
          <w:bCs/>
        </w:rPr>
        <w:t xml:space="preserve">9%</w:t>
      </w:r>
      <w:r>
        <w:t xml:space="preserve">.</w:t>
      </w:r>
    </w:p>
    <w:p>
      <w:pPr>
        <w:pStyle w:val="Compact"/>
        <w:numPr>
          <w:ilvl w:val="0"/>
          <w:numId w:val="1002"/>
        </w:numPr>
      </w:pPr>
      <w:r>
        <w:t xml:space="preserve">Average SHOP occupancy increased</w:t>
      </w:r>
      <w:r>
        <w:t xml:space="preserve"> </w:t>
      </w:r>
      <w:r>
        <w:rPr>
          <w:b/>
          <w:bCs/>
        </w:rPr>
        <w:t xml:space="preserve">310 basis points</w:t>
      </w:r>
      <w:r>
        <w:t xml:space="preserve"> </w:t>
      </w:r>
      <w:r>
        <w:t xml:space="preserve">year over year.</w:t>
      </w:r>
    </w:p>
    <w:p>
      <w:pPr>
        <w:pStyle w:val="Compact"/>
        <w:numPr>
          <w:ilvl w:val="0"/>
          <w:numId w:val="1002"/>
        </w:numPr>
      </w:pPr>
      <w:r>
        <w:t xml:space="preserve">RevPOR increased</w:t>
      </w:r>
      <w:r>
        <w:t xml:space="preserve"> </w:t>
      </w:r>
      <w:r>
        <w:rPr>
          <w:b/>
          <w:bCs/>
        </w:rPr>
        <w:t xml:space="preserve">5%</w:t>
      </w:r>
      <w:r>
        <w:t xml:space="preserve">.</w:t>
      </w:r>
    </w:p>
    <w:p>
      <w:pPr>
        <w:pStyle w:val="Compact"/>
        <w:numPr>
          <w:ilvl w:val="0"/>
          <w:numId w:val="1002"/>
        </w:numPr>
      </w:pPr>
      <w:r>
        <w:t xml:space="preserve">SHOP margins expanded</w:t>
      </w:r>
      <w:r>
        <w:t xml:space="preserve"> </w:t>
      </w:r>
      <w:r>
        <w:rPr>
          <w:b/>
          <w:bCs/>
        </w:rPr>
        <w:t xml:space="preserve">170 basis points</w:t>
      </w:r>
      <w:r>
        <w:t xml:space="preserve">.</w:t>
      </w:r>
    </w:p>
    <w:p>
      <w:pPr>
        <w:pStyle w:val="Compact"/>
        <w:numPr>
          <w:ilvl w:val="0"/>
          <w:numId w:val="1002"/>
        </w:numPr>
      </w:pPr>
      <w:r>
        <w:t xml:space="preserve">Net debt/adjusted EBITDA improved to</w:t>
      </w:r>
      <w:r>
        <w:t xml:space="preserve"> </w:t>
      </w:r>
      <w:r>
        <w:rPr>
          <w:b/>
          <w:bCs/>
        </w:rPr>
        <w:t xml:space="preserve">5.0x</w:t>
      </w:r>
      <w:r>
        <w:t xml:space="preserve">.</w:t>
      </w:r>
    </w:p>
    <w:p>
      <w:pPr>
        <w:pStyle w:val="Compact"/>
        <w:numPr>
          <w:ilvl w:val="0"/>
          <w:numId w:val="1002"/>
        </w:numPr>
      </w:pPr>
      <w:r>
        <w:t xml:space="preserve">Liquidity stood at</w:t>
      </w:r>
      <w:r>
        <w:t xml:space="preserve"> </w:t>
      </w:r>
      <w:r>
        <w:rPr>
          <w:b/>
          <w:bCs/>
        </w:rPr>
        <w:t xml:space="preserve">$5.5 billion</w:t>
      </w:r>
      <w:r>
        <w:t xml:space="preserve">.</w:t>
      </w:r>
    </w:p>
    <w:p>
      <w:pPr>
        <w:pStyle w:val="Compact"/>
        <w:numPr>
          <w:ilvl w:val="0"/>
          <w:numId w:val="1002"/>
        </w:numPr>
      </w:pPr>
      <w:r>
        <w:t xml:space="preserve">Management raised 2026 normalized FFO guidance to</w:t>
      </w:r>
      <w:r>
        <w:t xml:space="preserve"> </w:t>
      </w:r>
      <m:oMath>
        <m:r>
          <m:t>3.82</m:t>
        </m:r>
        <m:r>
          <m:rPr>
            <m:sty m:val="p"/>
          </m:rPr>
          <m:t>–</m:t>
        </m:r>
      </m:oMath>
      <w:r>
        <w:rPr>
          <w:b/>
          <w:bCs/>
        </w:rPr>
        <w:t xml:space="preserve">3.89</w:t>
      </w:r>
      <w:r>
        <w:t xml:space="preserve">, with a $3.86 midpoint. (</w:t>
      </w:r>
      <w:hyperlink r:id="rId13">
        <w:r>
          <w:rPr>
            <w:rStyle w:val="Hyperlink"/>
          </w:rPr>
          <w:t xml:space="preserve">ir.ventasreit.com</w:t>
        </w:r>
      </w:hyperlink>
      <w:r>
        <w:t xml:space="preserve">)</w:t>
      </w:r>
    </w:p>
    <w:p>
      <w:pPr>
        <w:pStyle w:val="FirstParagraph"/>
      </w:pPr>
      <w:r>
        <w:t xml:space="preserve">The Q1 guidance increase was driven by better SHOP performance and acquisition accretion, partly offset by higher expected interest rates. (</w:t>
      </w:r>
      <w:hyperlink r:id="rId13">
        <w:r>
          <w:rPr>
            <w:rStyle w:val="Hyperlink"/>
          </w:rPr>
          <w:t xml:space="preserve">ir.ventasreit.com</w:t>
        </w:r>
      </w:hyperlink>
      <w:r>
        <w:t xml:space="preserve">)</w:t>
      </w:r>
    </w:p>
    <w:p>
      <w:pPr>
        <w:pStyle w:val="BodyText"/>
      </w:pPr>
      <w:r>
        <w:t xml:space="preserve">That creates a demanding comparison for Q2: investors will want confirmation that Q1 was not simply an unusually strong start.</w:t>
      </w:r>
    </w:p>
    <w:p>
      <w:r>
        <w:pict>
          <v:rect style="width:0;height:1.5pt" o:hralign="center" o:hrstd="t" o:hr="t"/>
        </w:pict>
      </w:r>
    </w:p>
    <w:bookmarkEnd w:id="14"/>
    <w:bookmarkStart w:id="18" w:name="X859ef7f064d9b8ed7de26b616f24b1b0a00cbb0"/>
    <w:p>
      <w:pPr>
        <w:pStyle w:val="Heading2"/>
      </w:pPr>
      <w:r>
        <w:t xml:space="preserve">1. SHOP remains the main event</w:t>
      </w:r>
    </w:p>
    <w:p>
      <w:pPr>
        <w:pStyle w:val="FirstParagraph"/>
      </w:pPr>
      <w:r>
        <w:t xml:space="preserve">SHOP now drives both Ventas’s organic growth and its capital-allocation strategy. The most important disclosure will be the bridge among:</w:t>
      </w:r>
    </w:p>
    <w:p>
      <w:pPr>
        <w:pStyle w:val="Compact"/>
        <w:numPr>
          <w:ilvl w:val="0"/>
          <w:numId w:val="1003"/>
        </w:numPr>
      </w:pPr>
      <w:r>
        <w:t xml:space="preserve">Occupancy</w:t>
      </w:r>
    </w:p>
    <w:p>
      <w:pPr>
        <w:pStyle w:val="Compact"/>
        <w:numPr>
          <w:ilvl w:val="0"/>
          <w:numId w:val="1003"/>
        </w:numPr>
      </w:pPr>
      <w:r>
        <w:t xml:space="preserve">RevPOR</w:t>
      </w:r>
    </w:p>
    <w:p>
      <w:pPr>
        <w:pStyle w:val="Compact"/>
        <w:numPr>
          <w:ilvl w:val="0"/>
          <w:numId w:val="1003"/>
        </w:numPr>
      </w:pPr>
      <w:r>
        <w:t xml:space="preserve">Operating expenses</w:t>
      </w:r>
    </w:p>
    <w:p>
      <w:pPr>
        <w:pStyle w:val="Compact"/>
        <w:numPr>
          <w:ilvl w:val="0"/>
          <w:numId w:val="1003"/>
        </w:numPr>
      </w:pPr>
      <w:r>
        <w:t xml:space="preserve">NOI margins</w:t>
      </w:r>
    </w:p>
    <w:p>
      <w:pPr>
        <w:pStyle w:val="Compact"/>
        <w:numPr>
          <w:ilvl w:val="0"/>
          <w:numId w:val="1003"/>
        </w:numPr>
      </w:pPr>
      <w:r>
        <w:t xml:space="preserve">Same-store NOI growth</w:t>
      </w:r>
    </w:p>
    <w:bookmarkStart w:id="15" w:name="occupancy"/>
    <w:p>
      <w:pPr>
        <w:pStyle w:val="Heading3"/>
      </w:pPr>
      <w:r>
        <w:t xml:space="preserve">Occupancy</w:t>
      </w:r>
    </w:p>
    <w:p>
      <w:pPr>
        <w:pStyle w:val="FirstParagraph"/>
      </w:pPr>
      <w:r>
        <w:t xml:space="preserve">Q1 average SHOP occupancy reached approximately</w:t>
      </w:r>
      <w:r>
        <w:t xml:space="preserve"> </w:t>
      </w:r>
      <w:r>
        <w:rPr>
          <w:b/>
          <w:bCs/>
        </w:rPr>
        <w:t xml:space="preserve">90.4%</w:t>
      </w:r>
      <w:r>
        <w:t xml:space="preserve">, while the U.S. portfolio remained around</w:t>
      </w:r>
      <w:r>
        <w:t xml:space="preserve"> </w:t>
      </w:r>
      <w:r>
        <w:rPr>
          <w:b/>
          <w:bCs/>
        </w:rPr>
        <w:t xml:space="preserve">87%</w:t>
      </w:r>
      <w:r>
        <w:t xml:space="preserve"> </w:t>
      </w:r>
      <w:r>
        <w:t xml:space="preserve">occupied. That distinction is important: the consolidated same-store pool is relatively highly occupied, but the U.S. portfolio still has meaningful lease-up potential.</w:t>
      </w:r>
    </w:p>
    <w:p>
      <w:pPr>
        <w:pStyle w:val="BodyText"/>
      </w:pPr>
      <w:r>
        <w:t xml:space="preserve">Management previously raised its full-year occupancy-growth assumption to approximately</w:t>
      </w:r>
      <w:r>
        <w:t xml:space="preserve"> </w:t>
      </w:r>
      <w:r>
        <w:rPr>
          <w:b/>
          <w:bCs/>
        </w:rPr>
        <w:t xml:space="preserve">300 basis points</w:t>
      </w:r>
      <w:r>
        <w:t xml:space="preserve">, largely because of the strong first quarter. The company also stressed that the key selling season runs from May through September.</w:t>
      </w:r>
    </w:p>
    <w:p>
      <w:pPr>
        <w:pStyle w:val="BodyText"/>
      </w:pPr>
      <w:r>
        <w:t xml:space="preserve">For Q2, investors should look for:</w:t>
      </w:r>
    </w:p>
    <w:p>
      <w:pPr>
        <w:pStyle w:val="Compact"/>
        <w:numPr>
          <w:ilvl w:val="0"/>
          <w:numId w:val="1004"/>
        </w:numPr>
      </w:pPr>
      <w:r>
        <w:t xml:space="preserve">Sustained year-over-year occupancy gains near 300 basis points.</w:t>
      </w:r>
    </w:p>
    <w:p>
      <w:pPr>
        <w:pStyle w:val="Compact"/>
        <w:numPr>
          <w:ilvl w:val="0"/>
          <w:numId w:val="1004"/>
        </w:numPr>
      </w:pPr>
      <w:r>
        <w:t xml:space="preserve">Positive sequential movement through May and June.</w:t>
      </w:r>
    </w:p>
    <w:p>
      <w:pPr>
        <w:pStyle w:val="Compact"/>
        <w:numPr>
          <w:ilvl w:val="0"/>
          <w:numId w:val="1004"/>
        </w:numPr>
      </w:pPr>
      <w:r>
        <w:t xml:space="preserve">Strong net move-ins entering Q3.</w:t>
      </w:r>
    </w:p>
    <w:p>
      <w:pPr>
        <w:pStyle w:val="Compact"/>
        <w:numPr>
          <w:ilvl w:val="0"/>
          <w:numId w:val="1004"/>
        </w:numPr>
      </w:pPr>
      <w:r>
        <w:t xml:space="preserve">Continued U.S. outperformance.</w:t>
      </w:r>
    </w:p>
    <w:p>
      <w:pPr>
        <w:pStyle w:val="Compact"/>
        <w:numPr>
          <w:ilvl w:val="0"/>
          <w:numId w:val="1004"/>
        </w:numPr>
      </w:pPr>
      <w:r>
        <w:t xml:space="preserve">Evidence that highly occupied properties are developing waitlists or gaining pricing power.</w:t>
      </w:r>
    </w:p>
    <w:p>
      <w:pPr>
        <w:pStyle w:val="FirstParagraph"/>
      </w:pPr>
      <w:r>
        <w:t xml:space="preserve">A strong June exit rate may be more important than the quarterly average because Q2 captures only the beginning of the principal selling season.</w:t>
      </w:r>
    </w:p>
    <w:bookmarkEnd w:id="15"/>
    <w:bookmarkStart w:id="16" w:name="pricing-and-revenue"/>
    <w:p>
      <w:pPr>
        <w:pStyle w:val="Heading3"/>
      </w:pPr>
      <w:r>
        <w:t xml:space="preserve">Pricing and revenue</w:t>
      </w:r>
    </w:p>
    <w:p>
      <w:pPr>
        <w:pStyle w:val="FirstParagraph"/>
      </w:pPr>
      <w:r>
        <w:t xml:space="preserve">Q1 RevPOR grew</w:t>
      </w:r>
      <w:r>
        <w:t xml:space="preserve"> </w:t>
      </w:r>
      <w:r>
        <w:rPr>
          <w:b/>
          <w:bCs/>
        </w:rPr>
        <w:t xml:space="preserve">5%</w:t>
      </w:r>
      <w:r>
        <w:t xml:space="preserve">, supported by in-place rate increases running close to 8%. Ventas has continued to prioritize occupancy over maximizing near-term pricing, which is sensible given the substantial operating leverage associated with filling incremental units.</w:t>
      </w:r>
    </w:p>
    <w:p>
      <w:pPr>
        <w:pStyle w:val="BodyText"/>
      </w:pPr>
      <w:r>
        <w:t xml:space="preserve">The ideal Q2 combination would be:</w:t>
      </w:r>
    </w:p>
    <w:p>
      <w:pPr>
        <w:pStyle w:val="Compact"/>
        <w:numPr>
          <w:ilvl w:val="0"/>
          <w:numId w:val="1005"/>
        </w:numPr>
      </w:pPr>
      <w:r>
        <w:t xml:space="preserve">RevPOR growth around 5%.</w:t>
      </w:r>
    </w:p>
    <w:p>
      <w:pPr>
        <w:pStyle w:val="Compact"/>
        <w:numPr>
          <w:ilvl w:val="0"/>
          <w:numId w:val="1005"/>
        </w:numPr>
      </w:pPr>
      <w:r>
        <w:t xml:space="preserve">Occupancy gains near or above plan.</w:t>
      </w:r>
    </w:p>
    <w:p>
      <w:pPr>
        <w:pStyle w:val="Compact"/>
        <w:numPr>
          <w:ilvl w:val="0"/>
          <w:numId w:val="1005"/>
        </w:numPr>
      </w:pPr>
      <w:r>
        <w:t xml:space="preserve">Same-store revenue growth around the company’s full-year assumption of approximately 8.75%.</w:t>
      </w:r>
    </w:p>
    <w:p>
      <w:pPr>
        <w:pStyle w:val="FirstParagraph"/>
      </w:pPr>
      <w:r>
        <w:t xml:space="preserve">Rate growth without occupancy progress would be less constructive. The thesis depends on both price and volume.</w:t>
      </w:r>
    </w:p>
    <w:bookmarkEnd w:id="16"/>
    <w:bookmarkStart w:id="17" w:name="expenses-and-margins"/>
    <w:p>
      <w:pPr>
        <w:pStyle w:val="Heading3"/>
      </w:pPr>
      <w:r>
        <w:t xml:space="preserve">Expenses and margins</w:t>
      </w:r>
    </w:p>
    <w:p>
      <w:pPr>
        <w:pStyle w:val="FirstParagraph"/>
      </w:pPr>
      <w:r>
        <w:t xml:space="preserve">Q1 SHOP operating expenses increased</w:t>
      </w:r>
      <w:r>
        <w:t xml:space="preserve"> </w:t>
      </w:r>
      <w:r>
        <w:rPr>
          <w:b/>
          <w:bCs/>
        </w:rPr>
        <w:t xml:space="preserve">5.8%</w:t>
      </w:r>
      <w:r>
        <w:t xml:space="preserve">, partly because of winter weather and higher occupancy. Incremental margins remained around 50%.</w:t>
      </w:r>
    </w:p>
    <w:p>
      <w:pPr>
        <w:pStyle w:val="BodyText"/>
      </w:pPr>
      <w:r>
        <w:t xml:space="preserve">The Q2 expense comparison should be cleaner. Investors should watch labor costs, agency staffing, insurance, utilities, food, sales commissions, and other occupancy-related expenses. A healthy report would show:</w:t>
      </w:r>
    </w:p>
    <w:p>
      <w:pPr>
        <w:pStyle w:val="Compact"/>
        <w:numPr>
          <w:ilvl w:val="0"/>
          <w:numId w:val="1006"/>
        </w:numPr>
      </w:pPr>
      <w:r>
        <w:t xml:space="preserve">Expense growth comfortably below revenue growth.</w:t>
      </w:r>
    </w:p>
    <w:p>
      <w:pPr>
        <w:pStyle w:val="Compact"/>
        <w:numPr>
          <w:ilvl w:val="0"/>
          <w:numId w:val="1006"/>
        </w:numPr>
      </w:pPr>
      <w:r>
        <w:t xml:space="preserve">Continued margin expansion.</w:t>
      </w:r>
    </w:p>
    <w:p>
      <w:pPr>
        <w:pStyle w:val="Compact"/>
        <w:numPr>
          <w:ilvl w:val="0"/>
          <w:numId w:val="1006"/>
        </w:numPr>
      </w:pPr>
      <w:r>
        <w:t xml:space="preserve">Incremental margins around 50% or better.</w:t>
      </w:r>
    </w:p>
    <w:p>
      <w:pPr>
        <w:pStyle w:val="FirstParagraph"/>
      </w:pPr>
      <w:r>
        <w:t xml:space="preserve">Management has said stabilized communities with flat year-over-year occupancy can generate incremental margins around 70%. Progress toward that profile would support the argument that SHOP growth can remain elevated even after occupancy gains eventually moderate.</w:t>
      </w:r>
    </w:p>
    <w:p>
      <w:r>
        <w:pict>
          <v:rect style="width:0;height:1.5pt" o:hralign="center" o:hrstd="t" o:hr="t"/>
        </w:pict>
      </w:r>
    </w:p>
    <w:bookmarkEnd w:id="17"/>
    <w:bookmarkEnd w:id="18"/>
    <w:bookmarkStart w:id="20" w:name="X8c4ac66fa44367179bb97ce1747b622d4e2a7a5"/>
    <w:p>
      <w:pPr>
        <w:pStyle w:val="Heading2"/>
      </w:pPr>
      <w:r>
        <w:t xml:space="preserve">2. Guidance may matter more than the quarterly FFO result</w:t>
      </w:r>
    </w:p>
    <w:p>
      <w:pPr>
        <w:pStyle w:val="FirstParagraph"/>
      </w:pPr>
      <w:r>
        <w:t xml:space="preserve">Current full-year normalized FFO guidance is</w:t>
      </w:r>
      <w:r>
        <w:t xml:space="preserve"> </w:t>
      </w:r>
      <m:oMath>
        <m:r>
          <m:t>3.82</m:t>
        </m:r>
        <m:r>
          <m:rPr>
            <m:sty m:val="p"/>
          </m:rPr>
          <m:t>–</m:t>
        </m:r>
      </m:oMath>
      <w:r>
        <w:rPr>
          <w:b/>
          <w:bCs/>
        </w:rPr>
        <w:t xml:space="preserve">3.89</w:t>
      </w:r>
      <w:r>
        <w:t xml:space="preserve">, with a midpoint of</w:t>
      </w:r>
      <w:r>
        <w:t xml:space="preserve"> </w:t>
      </w:r>
      <m:oMath>
        <m:r>
          <m:t>3.86</m:t>
        </m:r>
        <m:r>
          <m:rPr>
            <m:sty m:val="p"/>
          </m:rPr>
          <m:t>*</m:t>
        </m:r>
        <m:r>
          <m:rPr>
            <m:sty m:val="p"/>
          </m:rPr>
          <m:t>*</m:t>
        </m:r>
        <m:r>
          <m:rPr>
            <m:sty m:val="p"/>
          </m:rPr>
          <m:t>.</m:t>
        </m:r>
        <m:r>
          <m:t>C</m:t>
        </m:r>
        <m:r>
          <m:t>o</m:t>
        </m:r>
        <m:r>
          <m:t>n</m:t>
        </m:r>
        <m:r>
          <m:t>s</m:t>
        </m:r>
        <m:r>
          <m:t>e</m:t>
        </m:r>
        <m:r>
          <m:t>n</m:t>
        </m:r>
        <m:r>
          <m:t>s</m:t>
        </m:r>
        <m:r>
          <m:t>u</m:t>
        </m:r>
        <m:r>
          <m:t>s</m:t>
        </m:r>
        <m:r>
          <m:t>s</m:t>
        </m:r>
        <m:r>
          <m:t>i</m:t>
        </m:r>
        <m:r>
          <m:t>t</m:t>
        </m:r>
        <m:r>
          <m:t>s</m:t>
        </m:r>
        <m:r>
          <m:t>a</m:t>
        </m:r>
        <m:r>
          <m:t>t</m:t>
        </m:r>
        <m:r>
          <m:rPr>
            <m:sty m:val="p"/>
          </m:rPr>
          <m:t>*</m:t>
        </m:r>
        <m:r>
          <m:rPr>
            <m:sty m:val="p"/>
          </m:rPr>
          <m:t>*</m:t>
        </m:r>
      </m:oMath>
      <w:r>
        <w:rPr>
          <w:b/>
          <w:bCs/>
        </w:rPr>
        <w:t xml:space="preserve">3.88</w:t>
      </w:r>
      <w:r>
        <w:t xml:space="preserve">, leaving little room below the top end. (</w:t>
      </w:r>
      <w:hyperlink r:id="rId11">
        <w:r>
          <w:rPr>
            <w:rStyle w:val="Hyperlink"/>
          </w:rPr>
          <w:t xml:space="preserve">barchart.com</w:t>
        </w:r>
      </w:hyperlink>
      <w:r>
        <w:t xml:space="preserve">)</w:t>
      </w:r>
    </w:p>
    <w:p>
      <w:pPr>
        <w:pStyle w:val="BodyText"/>
      </w:pPr>
      <w:r>
        <w:t xml:space="preserve">A</w:t>
      </w:r>
      <w:r>
        <w:t xml:space="preserve"> </w:t>
      </w:r>
      <m:oMath>
        <m:r>
          <m:t>0.96</m:t>
        </m:r>
        <m:r>
          <m:t>Q</m:t>
        </m:r>
        <m:r>
          <m:t>2</m:t>
        </m:r>
        <m:r>
          <m:t>r</m:t>
        </m:r>
        <m:r>
          <m:t>e</m:t>
        </m:r>
        <m:r>
          <m:t>s</m:t>
        </m:r>
        <m:r>
          <m:t>u</m:t>
        </m:r>
        <m:r>
          <m:t>l</m:t>
        </m:r>
        <m:r>
          <m:t>t</m:t>
        </m:r>
        <m:r>
          <m:t>w</m:t>
        </m:r>
        <m:r>
          <m:t>o</m:t>
        </m:r>
        <m:r>
          <m:t>u</m:t>
        </m:r>
        <m:r>
          <m:t>l</m:t>
        </m:r>
        <m:r>
          <m:t>d</m:t>
        </m:r>
        <m:r>
          <m:t>p</m:t>
        </m:r>
        <m:r>
          <m:t>u</m:t>
        </m:r>
        <m:r>
          <m:t>t</m:t>
        </m:r>
        <m:r>
          <m:t>f</m:t>
        </m:r>
        <m:r>
          <m:t>i</m:t>
        </m:r>
        <m:r>
          <m:t>r</m:t>
        </m:r>
        <m:r>
          <m:t>s</m:t>
        </m:r>
        <m:r>
          <m:t>t</m:t>
        </m:r>
        <m:r>
          <m:rPr>
            <m:sty m:val="p"/>
          </m:rPr>
          <m:t>−</m:t>
        </m:r>
        <m:r>
          <m:t>h</m:t>
        </m:r>
        <m:r>
          <m:t>a</m:t>
        </m:r>
        <m:r>
          <m:t>l</m:t>
        </m:r>
        <m:r>
          <m:t>f</m:t>
        </m:r>
        <m:r>
          <m:t>n</m:t>
        </m:r>
        <m:r>
          <m:t>o</m:t>
        </m:r>
        <m:r>
          <m:t>r</m:t>
        </m:r>
        <m:r>
          <m:t>m</m:t>
        </m:r>
        <m:r>
          <m:t>a</m:t>
        </m:r>
        <m:r>
          <m:t>l</m:t>
        </m:r>
        <m:r>
          <m:t>i</m:t>
        </m:r>
        <m:r>
          <m:t>z</m:t>
        </m:r>
        <m:r>
          <m:t>e</m:t>
        </m:r>
        <m:r>
          <m:t>d</m:t>
        </m:r>
        <m:r>
          <m:t>F</m:t>
        </m:r>
        <m:r>
          <m:t>F</m:t>
        </m:r>
        <m:r>
          <m:t>O</m:t>
        </m:r>
        <m:r>
          <m:t>a</m:t>
        </m:r>
        <m:r>
          <m:t>t</m:t>
        </m:r>
        <m:r>
          <m:t>a</m:t>
        </m:r>
        <m:r>
          <m:t>p</m:t>
        </m:r>
        <m:r>
          <m:t>p</m:t>
        </m:r>
        <m:r>
          <m:t>r</m:t>
        </m:r>
        <m:r>
          <m:t>o</m:t>
        </m:r>
        <m:r>
          <m:t>x</m:t>
        </m:r>
        <m:r>
          <m:t>i</m:t>
        </m:r>
        <m:r>
          <m:t>m</m:t>
        </m:r>
        <m:r>
          <m:t>a</m:t>
        </m:r>
        <m:r>
          <m:t>t</m:t>
        </m:r>
        <m:r>
          <m:t>e</m:t>
        </m:r>
        <m:r>
          <m:t>l</m:t>
        </m:r>
        <m:r>
          <m:t>y</m:t>
        </m:r>
        <m:r>
          <m:rPr>
            <m:sty m:val="p"/>
          </m:rPr>
          <m:t>*</m:t>
        </m:r>
        <m:r>
          <m:rPr>
            <m:sty m:val="p"/>
          </m:rPr>
          <m:t>*</m:t>
        </m:r>
      </m:oMath>
      <w:r>
        <w:t xml:space="preserve">1.90**. Consensus expectations of roughly $0.98 in Q3 and $3.88 for the year imply approximately $1.00 in Q4—a steady second-half ramp.</w:t>
      </w:r>
    </w:p>
    <w:bookmarkStart w:id="19" w:name="possible-outcomes"/>
    <w:p>
      <w:pPr>
        <w:pStyle w:val="Heading3"/>
      </w:pPr>
      <w:r>
        <w:t xml:space="preserve">Possible outcomes</w:t>
      </w:r>
    </w:p>
    <w:p>
      <w:pPr>
        <w:pStyle w:val="Compact"/>
        <w:numPr>
          <w:ilvl w:val="0"/>
          <w:numId w:val="1007"/>
        </w:numPr>
      </w:pPr>
      <w:r>
        <w:rPr>
          <w:b/>
          <w:bCs/>
        </w:rPr>
        <w:t xml:space="preserve">Bullish:</w:t>
      </w:r>
      <w:r>
        <w:t xml:space="preserve"> </w:t>
      </w:r>
      <w:r>
        <w:t xml:space="preserve">Guidance is raised above $3.89, driven by better SHOP performance and acquisition accretion.</w:t>
      </w:r>
    </w:p>
    <w:p>
      <w:pPr>
        <w:pStyle w:val="Compact"/>
        <w:numPr>
          <w:ilvl w:val="0"/>
          <w:numId w:val="1007"/>
        </w:numPr>
      </w:pPr>
      <w:r>
        <w:rPr>
          <w:b/>
          <w:bCs/>
        </w:rPr>
        <w:t xml:space="preserve">Acceptable:</w:t>
      </w:r>
      <w:r>
        <w:t xml:space="preserve"> </w:t>
      </w:r>
      <w:r>
        <w:t xml:space="preserve">The range is narrowed upward, with the low end raised and the high end maintained or modestly increased.</w:t>
      </w:r>
    </w:p>
    <w:p>
      <w:pPr>
        <w:pStyle w:val="Compact"/>
        <w:numPr>
          <w:ilvl w:val="0"/>
          <w:numId w:val="1007"/>
        </w:numPr>
      </w:pPr>
      <w:r>
        <w:rPr>
          <w:b/>
          <w:bCs/>
        </w:rPr>
        <w:t xml:space="preserve">Neutral:</w:t>
      </w:r>
      <w:r>
        <w:t xml:space="preserve"> </w:t>
      </w:r>
      <w:r>
        <w:t xml:space="preserve">Guidance is reiterated, but management describes upside to SHOP assumptions or acquisition volume.</w:t>
      </w:r>
    </w:p>
    <w:p>
      <w:pPr>
        <w:pStyle w:val="Compact"/>
        <w:numPr>
          <w:ilvl w:val="0"/>
          <w:numId w:val="1007"/>
        </w:numPr>
      </w:pPr>
      <w:r>
        <w:rPr>
          <w:b/>
          <w:bCs/>
        </w:rPr>
        <w:t xml:space="preserve">Disappointing:</w:t>
      </w:r>
      <w:r>
        <w:t xml:space="preserve"> </w:t>
      </w:r>
      <w:r>
        <w:t xml:space="preserve">Guidance remains unchanged despite a quarterly beat, or operating assumptions are cut because of expenses, rates, or slower occupancy.</w:t>
      </w:r>
    </w:p>
    <w:p>
      <w:pPr>
        <w:pStyle w:val="FirstParagraph"/>
      </w:pPr>
      <w:r>
        <w:t xml:space="preserve">Given the share-price performance, simply reaffirming guidance could be insufficient unless the underlying operating metrics are clearly ahead of plan.</w:t>
      </w:r>
    </w:p>
    <w:p>
      <w:r>
        <w:pict>
          <v:rect style="width:0;height:1.5pt" o:hralign="center" o:hrstd="t" o:hr="t"/>
        </w:pict>
      </w:r>
    </w:p>
    <w:bookmarkEnd w:id="19"/>
    <w:bookmarkEnd w:id="20"/>
    <w:bookmarkStart w:id="23" w:name="X14dcb3746788795469fde5b85f306e27ab7f7e3"/>
    <w:p>
      <w:pPr>
        <w:pStyle w:val="Heading2"/>
      </w:pPr>
      <w:r>
        <w:t xml:space="preserve">3. External growth: volume is strong, but returns are the issue</w:t>
      </w:r>
    </w:p>
    <w:p>
      <w:pPr>
        <w:pStyle w:val="FirstParagraph"/>
      </w:pPr>
      <w:r>
        <w:t xml:space="preserve">Ventas had completed</w:t>
      </w:r>
      <w:r>
        <w:t xml:space="preserve"> </w:t>
      </w:r>
      <w:r>
        <w:rPr>
          <w:b/>
          <w:bCs/>
        </w:rPr>
        <w:t xml:space="preserve">$1.7 billion</w:t>
      </w:r>
      <w:r>
        <w:t xml:space="preserve"> </w:t>
      </w:r>
      <w:r>
        <w:t xml:space="preserve">of senior-housing investments through April and raised its 2026 investment target from</w:t>
      </w:r>
      <w:r>
        <w:t xml:space="preserve"> </w:t>
      </w:r>
      <m:oMath>
        <m:r>
          <m:t>2.5</m:t>
        </m:r>
        <m:r>
          <m:t>b</m:t>
        </m:r>
        <m:r>
          <m:t>i</m:t>
        </m:r>
        <m:r>
          <m:t>l</m:t>
        </m:r>
        <m:r>
          <m:t>l</m:t>
        </m:r>
        <m:r>
          <m:t>i</m:t>
        </m:r>
        <m:r>
          <m:t>o</m:t>
        </m:r>
        <m:r>
          <m:t>n</m:t>
        </m:r>
        <m:r>
          <m:t>t</m:t>
        </m:r>
        <m:r>
          <m:t>o</m:t>
        </m:r>
        <m:r>
          <m:rPr>
            <m:sty m:val="p"/>
          </m:rPr>
          <m:t>*</m:t>
        </m:r>
        <m:r>
          <m:rPr>
            <m:sty m:val="p"/>
          </m:rPr>
          <m:t>*</m:t>
        </m:r>
      </m:oMath>
      <w:r>
        <w:t xml:space="preserve">3 billion**. More than 90% of completed deals were relationship-driven, more than 60% were off-market, and over 40% involved repeat sellers. (</w:t>
      </w:r>
      <w:hyperlink r:id="rId13">
        <w:r>
          <w:rPr>
            <w:rStyle w:val="Hyperlink"/>
          </w:rPr>
          <w:t xml:space="preserve">ir.ventasreit.com</w:t>
        </w:r>
      </w:hyperlink>
      <w:r>
        <w:t xml:space="preserve">)</w:t>
      </w:r>
    </w:p>
    <w:p>
      <w:pPr>
        <w:pStyle w:val="BodyText"/>
      </w:pPr>
      <w:r>
        <w:t xml:space="preserve">The investment case depends on Ventas continuing to find attractive assets despite increasing competition for senior housing.</w:t>
      </w:r>
    </w:p>
    <w:p>
      <w:pPr>
        <w:pStyle w:val="BodyText"/>
      </w:pPr>
      <w:r>
        <w:t xml:space="preserve">Questions for Q2 include:</w:t>
      </w:r>
    </w:p>
    <w:p>
      <w:pPr>
        <w:pStyle w:val="Compact"/>
        <w:numPr>
          <w:ilvl w:val="0"/>
          <w:numId w:val="1008"/>
        </w:numPr>
      </w:pPr>
      <w:r>
        <w:t xml:space="preserve">How much of the $3 billion target is now closed or under contract?</w:t>
      </w:r>
    </w:p>
    <w:p>
      <w:pPr>
        <w:pStyle w:val="Compact"/>
        <w:numPr>
          <w:ilvl w:val="0"/>
          <w:numId w:val="1008"/>
        </w:numPr>
      </w:pPr>
      <w:r>
        <w:t xml:space="preserve">Has the target been increased again?</w:t>
      </w:r>
    </w:p>
    <w:p>
      <w:pPr>
        <w:pStyle w:val="Compact"/>
        <w:numPr>
          <w:ilvl w:val="0"/>
          <w:numId w:val="1008"/>
        </w:numPr>
      </w:pPr>
      <w:r>
        <w:t xml:space="preserve">Are initial yields still in the high-6% area?</w:t>
      </w:r>
    </w:p>
    <w:p>
      <w:pPr>
        <w:pStyle w:val="Compact"/>
        <w:numPr>
          <w:ilvl w:val="0"/>
          <w:numId w:val="1008"/>
        </w:numPr>
      </w:pPr>
      <w:r>
        <w:t xml:space="preserve">Are expected unlevered IRRs still in the low- to mid-teens?</w:t>
      </w:r>
    </w:p>
    <w:p>
      <w:pPr>
        <w:pStyle w:val="Compact"/>
        <w:numPr>
          <w:ilvl w:val="0"/>
          <w:numId w:val="1008"/>
        </w:numPr>
      </w:pPr>
      <w:r>
        <w:t xml:space="preserve">Have acquisition cap rates compressed further?</w:t>
      </w:r>
    </w:p>
    <w:p>
      <w:pPr>
        <w:pStyle w:val="Compact"/>
        <w:numPr>
          <w:ilvl w:val="0"/>
          <w:numId w:val="1008"/>
        </w:numPr>
      </w:pPr>
      <w:r>
        <w:t xml:space="preserve">Are newly acquired properties tracking underwriting?</w:t>
      </w:r>
    </w:p>
    <w:bookmarkStart w:id="21" w:name="revel-portfolio"/>
    <w:p>
      <w:pPr>
        <w:pStyle w:val="Heading3"/>
      </w:pPr>
      <w:r>
        <w:t xml:space="preserve">Revel portfolio</w:t>
      </w:r>
    </w:p>
    <w:p>
      <w:pPr>
        <w:pStyle w:val="FirstParagraph"/>
      </w:pPr>
      <w:r>
        <w:t xml:space="preserve">The approximately</w:t>
      </w:r>
      <w:r>
        <w:t xml:space="preserve"> </w:t>
      </w:r>
      <w:r>
        <w:rPr>
          <w:b/>
          <w:bCs/>
        </w:rPr>
        <w:t xml:space="preserve">$540 million Revel acquisition</w:t>
      </w:r>
      <w:r>
        <w:t xml:space="preserve"> </w:t>
      </w:r>
      <w:r>
        <w:t xml:space="preserve">is an important test. The luxury independent-living portfolio was acquired with average occupancy in the mid-70% range and meaningful lease-up potential. Ventas expects its operating platform to help generate mid-teens unlevered returns.</w:t>
      </w:r>
    </w:p>
    <w:p>
      <w:pPr>
        <w:pStyle w:val="BodyText"/>
      </w:pPr>
      <w:r>
        <w:t xml:space="preserve">Because the transaction closed in April, Q2 should include an initial contribution. Investors should listen for early sales momentum, pricing changes, operator integration, and any revision to the lease-up timetable.</w:t>
      </w:r>
    </w:p>
    <w:bookmarkEnd w:id="21"/>
    <w:bookmarkStart w:id="22" w:name="former-brookdale-communities"/>
    <w:p>
      <w:pPr>
        <w:pStyle w:val="Heading3"/>
      </w:pPr>
      <w:r>
        <w:t xml:space="preserve">Former Brookdale communities</w:t>
      </w:r>
    </w:p>
    <w:p>
      <w:pPr>
        <w:pStyle w:val="FirstParagraph"/>
      </w:pPr>
      <w:r>
        <w:t xml:space="preserve">Ventas transitioned 45 former Brookdale-leased communities into SHOP. Management characterized 2026 as the year to complete capital investment and operational integration, with the larger NOI opportunity expected in 2027 and beyond.</w:t>
      </w:r>
    </w:p>
    <w:p>
      <w:pPr>
        <w:pStyle w:val="BodyText"/>
      </w:pPr>
      <w:r>
        <w:t xml:space="preserve">The relevant Q2 indicators are:</w:t>
      </w:r>
    </w:p>
    <w:p>
      <w:pPr>
        <w:pStyle w:val="Compact"/>
        <w:numPr>
          <w:ilvl w:val="0"/>
          <w:numId w:val="1009"/>
        </w:numPr>
      </w:pPr>
      <w:r>
        <w:t xml:space="preserve">Completion of planned renovations.</w:t>
      </w:r>
    </w:p>
    <w:p>
      <w:pPr>
        <w:pStyle w:val="Compact"/>
        <w:numPr>
          <w:ilvl w:val="0"/>
          <w:numId w:val="1009"/>
        </w:numPr>
      </w:pPr>
      <w:r>
        <w:t xml:space="preserve">Operator stabilization.</w:t>
      </w:r>
    </w:p>
    <w:p>
      <w:pPr>
        <w:pStyle w:val="Compact"/>
        <w:numPr>
          <w:ilvl w:val="0"/>
          <w:numId w:val="1009"/>
        </w:numPr>
      </w:pPr>
      <w:r>
        <w:t xml:space="preserve">Selling-season occupancy progress.</w:t>
      </w:r>
    </w:p>
    <w:p>
      <w:pPr>
        <w:pStyle w:val="Compact"/>
        <w:numPr>
          <w:ilvl w:val="0"/>
          <w:numId w:val="1009"/>
        </w:numPr>
      </w:pPr>
      <w:r>
        <w:t xml:space="preserve">Confirmation of the longer-term opportunity to approximately double the portfolio’s prior NOI run rate.</w:t>
      </w:r>
    </w:p>
    <w:p>
      <w:pPr>
        <w:pStyle w:val="FirstParagraph"/>
      </w:pPr>
      <w:r>
        <w:t xml:space="preserve">These assets are unlikely to determine Q2 FFO, but they could materially affect the 2027 growth outlook.</w:t>
      </w:r>
    </w:p>
    <w:p>
      <w:r>
        <w:pict>
          <v:rect style="width:0;height:1.5pt" o:hralign="center" o:hrstd="t" o:hr="t"/>
        </w:pict>
      </w:r>
    </w:p>
    <w:bookmarkEnd w:id="22"/>
    <w:bookmarkEnd w:id="23"/>
    <w:bookmarkStart w:id="24" w:name="X3771de407d9a7edc0bd950e99558df451d9ad80"/>
    <w:p>
      <w:pPr>
        <w:pStyle w:val="Heading2"/>
      </w:pPr>
      <w:r>
        <w:t xml:space="preserve">4. Equity issuance must create per-share value</w:t>
      </w:r>
    </w:p>
    <w:p>
      <w:pPr>
        <w:pStyle w:val="FirstParagraph"/>
      </w:pPr>
      <w:r>
        <w:t xml:space="preserve">Ventas is deliberately funding acquisitions primarily with equity, preserving the balance sheet but increasing the share count.</w:t>
      </w:r>
    </w:p>
    <w:p>
      <w:pPr>
        <w:pStyle w:val="BodyText"/>
      </w:pPr>
      <w:r>
        <w:t xml:space="preserve">In Q1:</w:t>
      </w:r>
    </w:p>
    <w:p>
      <w:pPr>
        <w:pStyle w:val="Compact"/>
        <w:numPr>
          <w:ilvl w:val="0"/>
          <w:numId w:val="1010"/>
        </w:numPr>
      </w:pPr>
      <w:r>
        <w:t xml:space="preserve">Diluted shares increased roughly</w:t>
      </w:r>
      <w:r>
        <w:t xml:space="preserve"> </w:t>
      </w:r>
      <w:r>
        <w:rPr>
          <w:b/>
          <w:bCs/>
        </w:rPr>
        <w:t xml:space="preserve">9%</w:t>
      </w:r>
      <w:r>
        <w:t xml:space="preserve"> </w:t>
      </w:r>
      <w:r>
        <w:t xml:space="preserve">year over year.</w:t>
      </w:r>
    </w:p>
    <w:p>
      <w:pPr>
        <w:pStyle w:val="Compact"/>
        <w:numPr>
          <w:ilvl w:val="0"/>
          <w:numId w:val="1010"/>
        </w:numPr>
      </w:pPr>
      <w:r>
        <w:t xml:space="preserve">Total normalized FFO increased</w:t>
      </w:r>
      <w:r>
        <w:t xml:space="preserve"> </w:t>
      </w:r>
      <w:r>
        <w:rPr>
          <w:b/>
          <w:bCs/>
        </w:rPr>
        <w:t xml:space="preserve">18%</w:t>
      </w:r>
      <w:r>
        <w:t xml:space="preserve">.</w:t>
      </w:r>
    </w:p>
    <w:p>
      <w:pPr>
        <w:pStyle w:val="Compact"/>
        <w:numPr>
          <w:ilvl w:val="0"/>
          <w:numId w:val="1010"/>
        </w:numPr>
      </w:pPr>
      <w:r>
        <w:t xml:space="preserve">Normalized FFO/share increased</w:t>
      </w:r>
      <w:r>
        <w:t xml:space="preserve"> </w:t>
      </w:r>
      <w:r>
        <w:rPr>
          <w:b/>
          <w:bCs/>
        </w:rPr>
        <w:t xml:space="preserve">9%</w:t>
      </w:r>
      <w:r>
        <w:t xml:space="preserve">.</w:t>
      </w:r>
    </w:p>
    <w:p>
      <w:pPr>
        <w:pStyle w:val="FirstParagraph"/>
      </w:pPr>
      <w:r>
        <w:t xml:space="preserve">That is the right relationship: enterprise earnings grew faster than the share count. Investors need it to continue.</w:t>
      </w:r>
    </w:p>
    <w:p>
      <w:pPr>
        <w:pStyle w:val="BodyText"/>
      </w:pPr>
      <w:r>
        <w:t xml:space="preserve">At the end of Q1, Ventas had</w:t>
      </w:r>
      <w:r>
        <w:t xml:space="preserve"> </w:t>
      </w:r>
      <m:oMath>
        <m:r>
          <m:t>1.6</m:t>
        </m:r>
        <m:r>
          <m:t>b</m:t>
        </m:r>
        <m:r>
          <m:t>i</m:t>
        </m:r>
        <m:r>
          <m:t>l</m:t>
        </m:r>
        <m:r>
          <m:t>l</m:t>
        </m:r>
        <m:r>
          <m:t>i</m:t>
        </m:r>
        <m:r>
          <m:t>o</m:t>
        </m:r>
        <m:r>
          <m:t>n</m:t>
        </m:r>
        <m:r>
          <m:rPr>
            <m:sty m:val="p"/>
          </m:rPr>
          <m:t>*</m:t>
        </m:r>
        <m:r>
          <m:rPr>
            <m:sty m:val="p"/>
          </m:rPr>
          <m:t>*</m:t>
        </m:r>
        <m:r>
          <m:t>o</m:t>
        </m:r>
        <m:r>
          <m:t>f</m:t>
        </m:r>
        <m:r>
          <m:t>u</m:t>
        </m:r>
        <m:r>
          <m:t>n</m:t>
        </m:r>
        <m:r>
          <m:t>s</m:t>
        </m:r>
        <m:r>
          <m:t>e</m:t>
        </m:r>
        <m:r>
          <m:t>t</m:t>
        </m:r>
        <m:r>
          <m:t>t</m:t>
        </m:r>
        <m:r>
          <m:t>l</m:t>
        </m:r>
        <m:r>
          <m:t>e</m:t>
        </m:r>
        <m:r>
          <m:t>d</m:t>
        </m:r>
        <m:r>
          <m:t>e</m:t>
        </m:r>
        <m:r>
          <m:t>q</m:t>
        </m:r>
        <m:r>
          <m:t>u</m:t>
        </m:r>
        <m:r>
          <m:t>i</m:t>
        </m:r>
        <m:r>
          <m:t>t</m:t>
        </m:r>
        <m:r>
          <m:t>y</m:t>
        </m:r>
        <m:r>
          <m:t>f</m:t>
        </m:r>
        <m:r>
          <m:t>o</m:t>
        </m:r>
        <m:r>
          <m:t>r</m:t>
        </m:r>
        <m:r>
          <m:t>w</m:t>
        </m:r>
        <m:r>
          <m:t>a</m:t>
        </m:r>
        <m:r>
          <m:t>r</m:t>
        </m:r>
        <m:r>
          <m:t>d</m:t>
        </m:r>
        <m:r>
          <m:t>s</m:t>
        </m:r>
        <m:r>
          <m:rPr>
            <m:sty m:val="p"/>
          </m:rPr>
          <m:t>.</m:t>
        </m:r>
        <m:r>
          <m:t>I</m:t>
        </m:r>
        <m:r>
          <m:t>n</m:t>
        </m:r>
        <m:r>
          <m:t>M</m:t>
        </m:r>
        <m:r>
          <m:t>a</m:t>
        </m:r>
        <m:r>
          <m:t>y</m:t>
        </m:r>
        <m:r>
          <m:rPr>
            <m:sty m:val="p"/>
          </m:rPr>
          <m:t>,</m:t>
        </m:r>
        <m:r>
          <m:t>i</m:t>
        </m:r>
        <m:r>
          <m:t>t</m:t>
        </m:r>
        <m:r>
          <m:t>e</m:t>
        </m:r>
        <m:r>
          <m:t>x</m:t>
        </m:r>
        <m:r>
          <m:t>p</m:t>
        </m:r>
        <m:r>
          <m:t>a</m:t>
        </m:r>
        <m:r>
          <m:t>n</m:t>
        </m:r>
        <m:r>
          <m:t>d</m:t>
        </m:r>
        <m:r>
          <m:t>e</m:t>
        </m:r>
        <m:r>
          <m:t>d</m:t>
        </m:r>
        <m:r>
          <m:t>i</m:t>
        </m:r>
        <m:r>
          <m:t>t</m:t>
        </m:r>
        <m:r>
          <m:t>s</m:t>
        </m:r>
        <m:r>
          <m:t>A</m:t>
        </m:r>
        <m:r>
          <m:t>T</m:t>
        </m:r>
        <m:r>
          <m:t>M</m:t>
        </m:r>
        <m:r>
          <m:t>e</m:t>
        </m:r>
        <m:r>
          <m:t>q</m:t>
        </m:r>
        <m:r>
          <m:t>u</m:t>
        </m:r>
        <m:r>
          <m:t>i</m:t>
        </m:r>
        <m:r>
          <m:t>t</m:t>
        </m:r>
        <m:r>
          <m:t>y</m:t>
        </m:r>
        <m:r>
          <m:t>c</m:t>
        </m:r>
        <m:r>
          <m:t>a</m:t>
        </m:r>
        <m:r>
          <m:t>p</m:t>
        </m:r>
        <m:r>
          <m:t>a</m:t>
        </m:r>
        <m:r>
          <m:t>c</m:t>
        </m:r>
        <m:r>
          <m:t>i</m:t>
        </m:r>
        <m:r>
          <m:t>t</m:t>
        </m:r>
        <m:r>
          <m:t>y</m:t>
        </m:r>
        <m:r>
          <m:t>t</m:t>
        </m:r>
        <m:r>
          <m:t>o</m:t>
        </m:r>
        <m:r>
          <m:rPr>
            <m:sty m:val="p"/>
          </m:rPr>
          <m:t>*</m:t>
        </m:r>
        <m:r>
          <m:rPr>
            <m:sty m:val="p"/>
          </m:rPr>
          <m:t>*</m:t>
        </m:r>
      </m:oMath>
      <w:r>
        <w:rPr>
          <w:b/>
          <w:bCs/>
        </w:rPr>
        <w:t xml:space="preserve">3 billion</w:t>
      </w:r>
      <w:r>
        <w:t xml:space="preserve">. The larger program provides acquisition flexibility but also makes per-share accretion and issuance pricing increasingly important.</w:t>
      </w:r>
    </w:p>
    <w:p>
      <w:pPr>
        <w:pStyle w:val="BodyText"/>
      </w:pPr>
      <w:r>
        <w:t xml:space="preserve">Watch for:</w:t>
      </w:r>
    </w:p>
    <w:p>
      <w:pPr>
        <w:pStyle w:val="Compact"/>
        <w:numPr>
          <w:ilvl w:val="0"/>
          <w:numId w:val="1011"/>
        </w:numPr>
      </w:pPr>
      <w:r>
        <w:t xml:space="preserve">Shares issued or forward-sold during Q2.</w:t>
      </w:r>
    </w:p>
    <w:p>
      <w:pPr>
        <w:pStyle w:val="Compact"/>
        <w:numPr>
          <w:ilvl w:val="0"/>
          <w:numId w:val="1011"/>
        </w:numPr>
      </w:pPr>
      <w:r>
        <w:t xml:space="preserve">Average issuance price.</w:t>
      </w:r>
    </w:p>
    <w:p>
      <w:pPr>
        <w:pStyle w:val="Compact"/>
        <w:numPr>
          <w:ilvl w:val="0"/>
          <w:numId w:val="1011"/>
        </w:numPr>
      </w:pPr>
      <w:r>
        <w:t xml:space="preserve">Updated weighted-average share-count guidance.</w:t>
      </w:r>
    </w:p>
    <w:p>
      <w:pPr>
        <w:pStyle w:val="Compact"/>
        <w:numPr>
          <w:ilvl w:val="0"/>
          <w:numId w:val="1011"/>
        </w:numPr>
      </w:pPr>
      <w:r>
        <w:t xml:space="preserve">Investment yields relative to the implied cost of equity.</w:t>
      </w:r>
    </w:p>
    <w:p>
      <w:pPr>
        <w:pStyle w:val="Compact"/>
        <w:numPr>
          <w:ilvl w:val="0"/>
          <w:numId w:val="1011"/>
        </w:numPr>
      </w:pPr>
      <w:r>
        <w:t xml:space="preserve">Whether acquisition accretion offsets dilution and higher interest expense.</w:t>
      </w:r>
    </w:p>
    <w:p>
      <w:pPr>
        <w:pStyle w:val="FirstParagraph"/>
      </w:pPr>
      <w:r>
        <w:t xml:space="preserve">The strong stock price makes equity-funded acquisitions more attractive, but the strategy only works if Ventas maintains underwriting discipline.</w:t>
      </w:r>
    </w:p>
    <w:p>
      <w:r>
        <w:pict>
          <v:rect style="width:0;height:1.5pt" o:hralign="center" o:hrstd="t" o:hr="t"/>
        </w:pict>
      </w:r>
    </w:p>
    <w:bookmarkEnd w:id="24"/>
    <w:bookmarkStart w:id="25" w:name="X67fee0082c3c6bf3b060aa6e1f6809302a7511b"/>
    <w:p>
      <w:pPr>
        <w:pStyle w:val="Heading2"/>
      </w:pPr>
      <w:r>
        <w:t xml:space="preserve">5. Balance-sheet improvement should continue</w:t>
      </w:r>
    </w:p>
    <w:p>
      <w:pPr>
        <w:pStyle w:val="FirstParagraph"/>
      </w:pPr>
      <w:r>
        <w:t xml:space="preserve">Net debt/adjusted EBITDA ended Q1 at</w:t>
      </w:r>
      <w:r>
        <w:t xml:space="preserve"> </w:t>
      </w:r>
      <w:r>
        <w:rPr>
          <w:b/>
          <w:bCs/>
        </w:rPr>
        <w:t xml:space="preserve">5.0x</w:t>
      </w:r>
      <w:r>
        <w:t xml:space="preserve">, the tenth consecutive sequential improvement, while liquidity reached $5.5 billion. (</w:t>
      </w:r>
      <w:hyperlink r:id="rId13">
        <w:r>
          <w:rPr>
            <w:rStyle w:val="Hyperlink"/>
          </w:rPr>
          <w:t xml:space="preserve">ir.ventasreit.com</w:t>
        </w:r>
      </w:hyperlink>
      <w:r>
        <w:t xml:space="preserve">)</w:t>
      </w:r>
    </w:p>
    <w:p>
      <w:pPr>
        <w:pStyle w:val="BodyText"/>
      </w:pPr>
      <w:r>
        <w:t xml:space="preserve">A good Q2 report would show leverage remaining near 5.0x or moving below it despite substantial acquisitions. Deterioration would be less concerning if caused by transaction timing, but management would need to provide a clear path back down.</w:t>
      </w:r>
    </w:p>
    <w:p>
      <w:pPr>
        <w:pStyle w:val="BodyText"/>
      </w:pPr>
      <w:r>
        <w:t xml:space="preserve">Also monitor:</w:t>
      </w:r>
    </w:p>
    <w:p>
      <w:pPr>
        <w:pStyle w:val="Compact"/>
        <w:numPr>
          <w:ilvl w:val="0"/>
          <w:numId w:val="1012"/>
        </w:numPr>
      </w:pPr>
      <w:r>
        <w:t xml:space="preserve">Interest-expense guidance, previously around $640 million at the midpoint.</w:t>
      </w:r>
    </w:p>
    <w:p>
      <w:pPr>
        <w:pStyle w:val="Compact"/>
        <w:numPr>
          <w:ilvl w:val="0"/>
          <w:numId w:val="1012"/>
        </w:numPr>
      </w:pPr>
      <w:r>
        <w:t xml:space="preserve">Refinancing rates and upcoming maturities.</w:t>
      </w:r>
    </w:p>
    <w:p>
      <w:pPr>
        <w:pStyle w:val="Compact"/>
        <w:numPr>
          <w:ilvl w:val="0"/>
          <w:numId w:val="1012"/>
        </w:numPr>
      </w:pPr>
      <w:r>
        <w:t xml:space="preserve">Unsettled forward-equity proceeds.</w:t>
      </w:r>
    </w:p>
    <w:p>
      <w:pPr>
        <w:pStyle w:val="Compact"/>
        <w:numPr>
          <w:ilvl w:val="0"/>
          <w:numId w:val="1012"/>
        </w:numPr>
      </w:pPr>
      <w:r>
        <w:t xml:space="preserve">Disposition progress against the roughly $300 million annual assumption.</w:t>
      </w:r>
    </w:p>
    <w:p>
      <w:pPr>
        <w:pStyle w:val="Compact"/>
        <w:numPr>
          <w:ilvl w:val="0"/>
          <w:numId w:val="1012"/>
        </w:numPr>
      </w:pPr>
      <w:r>
        <w:t xml:space="preserve">FAD capital expenditures, previously guided near $400 million.</w:t>
      </w:r>
    </w:p>
    <w:p>
      <w:pPr>
        <w:pStyle w:val="FirstParagraph"/>
      </w:pPr>
      <w:r>
        <w:t xml:space="preserve">The higher capital-expenditure requirement reflects portfolio growth and investment in SHOP assets. Investors should distinguish value-creating renovation spending from recurring maintenance needs.</w:t>
      </w:r>
    </w:p>
    <w:p>
      <w:r>
        <w:pict>
          <v:rect style="width:0;height:1.5pt" o:hralign="center" o:hrstd="t" o:hr="t"/>
        </w:pict>
      </w:r>
    </w:p>
    <w:bookmarkEnd w:id="25"/>
    <w:bookmarkStart w:id="26" w:name="X150e11820c75a034d96478c2c8303f85e03b298"/>
    <w:p>
      <w:pPr>
        <w:pStyle w:val="Heading2"/>
      </w:pPr>
      <w:r>
        <w:t xml:space="preserve">6. The non-SHOP portfolio still matters</w:t>
      </w:r>
    </w:p>
    <w:p>
      <w:pPr>
        <w:pStyle w:val="FirstParagraph"/>
      </w:pPr>
      <w:r>
        <w:t xml:space="preserve">Q1 same-store NOI growth was:</w:t>
      </w:r>
    </w:p>
    <w:p>
      <w:pPr>
        <w:pStyle w:val="Compact"/>
        <w:numPr>
          <w:ilvl w:val="0"/>
          <w:numId w:val="1013"/>
        </w:numPr>
      </w:pPr>
      <w:r>
        <w:rPr>
          <w:b/>
          <w:bCs/>
        </w:rPr>
        <w:t xml:space="preserve">2.4%</w:t>
      </w:r>
      <w:r>
        <w:t xml:space="preserve"> </w:t>
      </w:r>
      <w:r>
        <w:t xml:space="preserve">in Outpatient Medical &amp; Research.</w:t>
      </w:r>
    </w:p>
    <w:p>
      <w:pPr>
        <w:pStyle w:val="Compact"/>
        <w:numPr>
          <w:ilvl w:val="0"/>
          <w:numId w:val="1013"/>
        </w:numPr>
      </w:pPr>
      <w:r>
        <w:rPr>
          <w:b/>
          <w:bCs/>
        </w:rPr>
        <w:t xml:space="preserve">1.6%</w:t>
      </w:r>
      <w:r>
        <w:t xml:space="preserve"> </w:t>
      </w:r>
      <w:r>
        <w:t xml:space="preserve">in triple-net assets.</w:t>
      </w:r>
    </w:p>
    <w:p>
      <w:pPr>
        <w:pStyle w:val="FirstParagraph"/>
      </w:pPr>
      <w:r>
        <w:t xml:space="preserve">These segments are not the primary growth engine, but they provide diversification and cash-flow stability. Outpatient occupancy had increased for seven consecutive quarters and was approaching 91%.</w:t>
      </w:r>
    </w:p>
    <w:p>
      <w:pPr>
        <w:pStyle w:val="BodyText"/>
      </w:pPr>
      <w:r>
        <w:t xml:space="preserve">For Q2, investors should watch whether:</w:t>
      </w:r>
    </w:p>
    <w:p>
      <w:pPr>
        <w:pStyle w:val="Compact"/>
        <w:numPr>
          <w:ilvl w:val="0"/>
          <w:numId w:val="1014"/>
        </w:numPr>
      </w:pPr>
      <w:r>
        <w:t xml:space="preserve">Outpatient occupancy continues to improve.</w:t>
      </w:r>
    </w:p>
    <w:p>
      <w:pPr>
        <w:pStyle w:val="Compact"/>
        <w:numPr>
          <w:ilvl w:val="0"/>
          <w:numId w:val="1014"/>
        </w:numPr>
      </w:pPr>
      <w:r>
        <w:t xml:space="preserve">Research assets remain stable.</w:t>
      </w:r>
    </w:p>
    <w:p>
      <w:pPr>
        <w:pStyle w:val="Compact"/>
        <w:numPr>
          <w:ilvl w:val="0"/>
          <w:numId w:val="1014"/>
        </w:numPr>
      </w:pPr>
      <w:r>
        <w:t xml:space="preserve">Triple-net rent collection and coverage remain sound.</w:t>
      </w:r>
    </w:p>
    <w:p>
      <w:pPr>
        <w:pStyle w:val="Compact"/>
        <w:numPr>
          <w:ilvl w:val="0"/>
          <w:numId w:val="1014"/>
        </w:numPr>
      </w:pPr>
      <w:r>
        <w:t xml:space="preserve">Management signals greater willingness to monetize slower-growth assets and recycle proceeds into SHOP.</w:t>
      </w:r>
    </w:p>
    <w:p>
      <w:pPr>
        <w:pStyle w:val="FirstParagraph"/>
      </w:pPr>
      <w:r>
        <w:t xml:space="preserve">A meaningful portfolio simplification is not necessary for the quarter to be successful, but asset-sale commentary could become an incremental catalyst.</w:t>
      </w:r>
    </w:p>
    <w:p>
      <w:r>
        <w:pict>
          <v:rect style="width:0;height:1.5pt" o:hralign="center" o:hrstd="t" o:hr="t"/>
        </w:pict>
      </w:r>
    </w:p>
    <w:bookmarkEnd w:id="26"/>
    <w:bookmarkStart w:id="27" w:name="valuation-and-expectations"/>
    <w:p>
      <w:pPr>
        <w:pStyle w:val="Heading2"/>
      </w:pPr>
      <w:r>
        <w:t xml:space="preserve">Valuation and expectations</w:t>
      </w:r>
    </w:p>
    <w:p>
      <w:pPr>
        <w:pStyle w:val="FirstParagraph"/>
      </w:pPr>
      <w:r>
        <w:t xml:space="preserve">VTR closed at</w:t>
      </w:r>
      <w:r>
        <w:t xml:space="preserve"> </w:t>
      </w:r>
      <w:r>
        <w:rPr>
          <w:b/>
          <w:bCs/>
        </w:rPr>
        <w:t xml:space="preserve">$98.16 on July 28</w:t>
      </w:r>
      <w:r>
        <w:t xml:space="preserve">, up approximately</w:t>
      </w:r>
      <w:r>
        <w:t xml:space="preserve"> </w:t>
      </w:r>
      <w:r>
        <w:rPr>
          <w:b/>
          <w:bCs/>
        </w:rPr>
        <w:t xml:space="preserve">12%</w:t>
      </w:r>
      <w:r>
        <w:t xml:space="preserve"> </w:t>
      </w:r>
      <w:r>
        <w:t xml:space="preserve">since the Q1 earnings call, versus about 6% for the broader listed-real-estate ETF VNQ. Its healthcare REIT peer Welltower rose approximately 14% over the same period.</w:t>
      </w:r>
    </w:p>
    <w:p>
      <w:pPr>
        <w:pStyle w:val="BodyText"/>
      </w:pPr>
      <w:r>
        <w:t xml:space="preserve">Using the $3.88 full-year consensus, VTR trades around</w:t>
      </w:r>
      <w:r>
        <w:t xml:space="preserve"> </w:t>
      </w:r>
      <w:r>
        <w:rPr>
          <w:b/>
          <w:bCs/>
        </w:rPr>
        <w:t xml:space="preserve">25.3 times 2026 normalized FFO</w:t>
      </w:r>
      <w:r>
        <w:t xml:space="preserve">. Its latest $0.52 quarterly dividend annualizes to approximately a</w:t>
      </w:r>
      <w:r>
        <w:t xml:space="preserve"> </w:t>
      </w:r>
      <w:r>
        <w:rPr>
          <w:b/>
          <w:bCs/>
        </w:rPr>
        <w:t xml:space="preserve">2.1% yield</w:t>
      </w:r>
      <w:r>
        <w:t xml:space="preserve"> </w:t>
      </w:r>
      <w:r>
        <w:t xml:space="preserve">at that price.</w:t>
      </w:r>
    </w:p>
    <w:p>
      <w:pPr>
        <w:pStyle w:val="BodyText"/>
      </w:pPr>
      <w:r>
        <w:t xml:space="preserve">That valuation reflects confidence in:</w:t>
      </w:r>
    </w:p>
    <w:p>
      <w:pPr>
        <w:pStyle w:val="Compact"/>
        <w:numPr>
          <w:ilvl w:val="0"/>
          <w:numId w:val="1015"/>
        </w:numPr>
      </w:pPr>
      <w:r>
        <w:t xml:space="preserve">Sustained double-digit SHOP growth.</w:t>
      </w:r>
    </w:p>
    <w:p>
      <w:pPr>
        <w:pStyle w:val="Compact"/>
        <w:numPr>
          <w:ilvl w:val="0"/>
          <w:numId w:val="1015"/>
        </w:numPr>
      </w:pPr>
      <w:r>
        <w:t xml:space="preserve">Continued occupancy gains.</w:t>
      </w:r>
    </w:p>
    <w:p>
      <w:pPr>
        <w:pStyle w:val="Compact"/>
        <w:numPr>
          <w:ilvl w:val="0"/>
          <w:numId w:val="1015"/>
        </w:numPr>
      </w:pPr>
      <w:r>
        <w:t xml:space="preserve">Attractive acquisition opportunities.</w:t>
      </w:r>
    </w:p>
    <w:p>
      <w:pPr>
        <w:pStyle w:val="Compact"/>
        <w:numPr>
          <w:ilvl w:val="0"/>
          <w:numId w:val="1015"/>
        </w:numPr>
      </w:pPr>
      <w:r>
        <w:t xml:space="preserve">Accretive equity issuance.</w:t>
      </w:r>
    </w:p>
    <w:p>
      <w:pPr>
        <w:pStyle w:val="Compact"/>
        <w:numPr>
          <w:ilvl w:val="0"/>
          <w:numId w:val="1015"/>
        </w:numPr>
      </w:pPr>
      <w:r>
        <w:t xml:space="preserve">A multiyear senior-housing demand cycle.</w:t>
      </w:r>
    </w:p>
    <w:p>
      <w:pPr>
        <w:pStyle w:val="FirstParagraph"/>
      </w:pPr>
      <w:r>
        <w:t xml:space="preserve">It also raises the bar. Investors are likely to look through a small headline beat if guidance or SHOP momentum disappoints.</w:t>
      </w:r>
    </w:p>
    <w:p>
      <w:r>
        <w:pict>
          <v:rect style="width:0;height:1.5pt" o:hralign="center" o:hrstd="t" o:hr="t"/>
        </w:pict>
      </w:r>
    </w:p>
    <w:bookmarkEnd w:id="27"/>
    <w:bookmarkStart w:id="31" w:name="earnings-scorecard"/>
    <w:p>
      <w:pPr>
        <w:pStyle w:val="Heading2"/>
      </w:pPr>
      <w:r>
        <w:t xml:space="preserve">Earnings scorecard</w:t>
      </w:r>
    </w:p>
    <w:bookmarkStart w:id="28" w:name="a-clearly-positive-report-would-include"/>
    <w:p>
      <w:pPr>
        <w:pStyle w:val="Heading3"/>
      </w:pPr>
      <w:r>
        <w:t xml:space="preserve">A clearly positive report would include</w:t>
      </w:r>
    </w:p>
    <w:p>
      <w:pPr>
        <w:pStyle w:val="Compact"/>
        <w:numPr>
          <w:ilvl w:val="0"/>
          <w:numId w:val="1016"/>
        </w:numPr>
      </w:pPr>
      <w:r>
        <w:t xml:space="preserve">Normalized FFO of</w:t>
      </w:r>
      <w:r>
        <w:t xml:space="preserve"> </w:t>
      </w:r>
      <w:r>
        <w:rPr>
          <w:b/>
          <w:bCs/>
        </w:rPr>
        <w:t xml:space="preserve">$0.97 or better</w:t>
      </w:r>
      <w:r>
        <w:t xml:space="preserve">.</w:t>
      </w:r>
    </w:p>
    <w:p>
      <w:pPr>
        <w:pStyle w:val="Compact"/>
        <w:numPr>
          <w:ilvl w:val="0"/>
          <w:numId w:val="1016"/>
        </w:numPr>
      </w:pPr>
      <w:r>
        <w:t xml:space="preserve">SHOP same-store NOI growth around the mid-teens.</w:t>
      </w:r>
    </w:p>
    <w:p>
      <w:pPr>
        <w:pStyle w:val="Compact"/>
        <w:numPr>
          <w:ilvl w:val="0"/>
          <w:numId w:val="1016"/>
        </w:numPr>
      </w:pPr>
      <w:r>
        <w:t xml:space="preserve">Occupancy growth near or above 300 basis points.</w:t>
      </w:r>
    </w:p>
    <w:p>
      <w:pPr>
        <w:pStyle w:val="Compact"/>
        <w:numPr>
          <w:ilvl w:val="0"/>
          <w:numId w:val="1016"/>
        </w:numPr>
      </w:pPr>
      <w:r>
        <w:t xml:space="preserve">Continued margin expansion.</w:t>
      </w:r>
    </w:p>
    <w:p>
      <w:pPr>
        <w:pStyle w:val="Compact"/>
        <w:numPr>
          <w:ilvl w:val="0"/>
          <w:numId w:val="1016"/>
        </w:numPr>
      </w:pPr>
      <w:r>
        <w:t xml:space="preserve">Higher full-year FFO guidance.</w:t>
      </w:r>
    </w:p>
    <w:p>
      <w:pPr>
        <w:pStyle w:val="Compact"/>
        <w:numPr>
          <w:ilvl w:val="0"/>
          <w:numId w:val="1016"/>
        </w:numPr>
      </w:pPr>
      <w:r>
        <w:t xml:space="preserve">Strong early selling-season commentary.</w:t>
      </w:r>
    </w:p>
    <w:p>
      <w:pPr>
        <w:pStyle w:val="Compact"/>
        <w:numPr>
          <w:ilvl w:val="0"/>
          <w:numId w:val="1016"/>
        </w:numPr>
      </w:pPr>
      <w:r>
        <w:t xml:space="preserve">Acquisition returns holding despite competition.</w:t>
      </w:r>
    </w:p>
    <w:p>
      <w:pPr>
        <w:pStyle w:val="Compact"/>
        <w:numPr>
          <w:ilvl w:val="0"/>
          <w:numId w:val="1016"/>
        </w:numPr>
      </w:pPr>
      <w:r>
        <w:t xml:space="preserve">Leverage at or below 5.0x.</w:t>
      </w:r>
    </w:p>
    <w:bookmarkEnd w:id="28"/>
    <w:bookmarkStart w:id="29" w:name="a-mixed-report-would-include"/>
    <w:p>
      <w:pPr>
        <w:pStyle w:val="Heading3"/>
      </w:pPr>
      <w:r>
        <w:t xml:space="preserve">A mixed report would include</w:t>
      </w:r>
    </w:p>
    <w:p>
      <w:pPr>
        <w:pStyle w:val="Compact"/>
        <w:numPr>
          <w:ilvl w:val="0"/>
          <w:numId w:val="1017"/>
        </w:numPr>
      </w:pPr>
      <w:r>
        <w:t xml:space="preserve">FFO around</w:t>
      </w:r>
      <w:r>
        <w:t xml:space="preserve"> </w:t>
      </w:r>
      <m:oMath>
        <m:r>
          <m:t>0.95</m:t>
        </m:r>
        <m:r>
          <m:rPr>
            <m:sty m:val="p"/>
          </m:rPr>
          <m:t>–</m:t>
        </m:r>
      </m:oMath>
      <w:r>
        <w:t xml:space="preserve">0.96.</w:t>
      </w:r>
    </w:p>
    <w:p>
      <w:pPr>
        <w:pStyle w:val="Compact"/>
        <w:numPr>
          <w:ilvl w:val="0"/>
          <w:numId w:val="1017"/>
        </w:numPr>
      </w:pPr>
      <w:r>
        <w:t xml:space="preserve">Solid but decelerating SHOP growth.</w:t>
      </w:r>
    </w:p>
    <w:p>
      <w:pPr>
        <w:pStyle w:val="Compact"/>
        <w:numPr>
          <w:ilvl w:val="0"/>
          <w:numId w:val="1017"/>
        </w:numPr>
      </w:pPr>
      <w:r>
        <w:t xml:space="preserve">Guidance merely reiterated.</w:t>
      </w:r>
    </w:p>
    <w:p>
      <w:pPr>
        <w:pStyle w:val="Compact"/>
        <w:numPr>
          <w:ilvl w:val="0"/>
          <w:numId w:val="1017"/>
        </w:numPr>
      </w:pPr>
      <w:r>
        <w:t xml:space="preserve">Strong occupancy offset by elevated expenses.</w:t>
      </w:r>
    </w:p>
    <w:p>
      <w:pPr>
        <w:pStyle w:val="Compact"/>
        <w:numPr>
          <w:ilvl w:val="0"/>
          <w:numId w:val="1017"/>
        </w:numPr>
      </w:pPr>
      <w:r>
        <w:t xml:space="preserve">Higher investment volume accompanied by lower initial yields.</w:t>
      </w:r>
    </w:p>
    <w:bookmarkEnd w:id="29"/>
    <w:bookmarkStart w:id="30" w:name="a-negative-report-would-include"/>
    <w:p>
      <w:pPr>
        <w:pStyle w:val="Heading3"/>
      </w:pPr>
      <w:r>
        <w:t xml:space="preserve">A negative report would include</w:t>
      </w:r>
    </w:p>
    <w:p>
      <w:pPr>
        <w:pStyle w:val="Compact"/>
        <w:numPr>
          <w:ilvl w:val="0"/>
          <w:numId w:val="1018"/>
        </w:numPr>
      </w:pPr>
      <w:r>
        <w:t xml:space="preserve">FFO of $0.94 or below.</w:t>
      </w:r>
    </w:p>
    <w:p>
      <w:pPr>
        <w:pStyle w:val="Compact"/>
        <w:numPr>
          <w:ilvl w:val="0"/>
          <w:numId w:val="1018"/>
        </w:numPr>
      </w:pPr>
      <w:r>
        <w:t xml:space="preserve">Materially slower occupancy gains.</w:t>
      </w:r>
    </w:p>
    <w:p>
      <w:pPr>
        <w:pStyle w:val="Compact"/>
        <w:numPr>
          <w:ilvl w:val="0"/>
          <w:numId w:val="1018"/>
        </w:numPr>
      </w:pPr>
      <w:r>
        <w:t xml:space="preserve">SHOP NOI below the low-double-digit area.</w:t>
      </w:r>
    </w:p>
    <w:p>
      <w:pPr>
        <w:pStyle w:val="Compact"/>
        <w:numPr>
          <w:ilvl w:val="0"/>
          <w:numId w:val="1018"/>
        </w:numPr>
      </w:pPr>
      <w:r>
        <w:t xml:space="preserve">Expense pressure reducing margins.</w:t>
      </w:r>
    </w:p>
    <w:p>
      <w:pPr>
        <w:pStyle w:val="Compact"/>
        <w:numPr>
          <w:ilvl w:val="0"/>
          <w:numId w:val="1018"/>
        </w:numPr>
      </w:pPr>
      <w:r>
        <w:t xml:space="preserve">Lower guidance or weaker operating assumptions.</w:t>
      </w:r>
    </w:p>
    <w:p>
      <w:pPr>
        <w:pStyle w:val="Compact"/>
        <w:numPr>
          <w:ilvl w:val="0"/>
          <w:numId w:val="1018"/>
        </w:numPr>
      </w:pPr>
      <w:r>
        <w:t xml:space="preserve">Acquisition cap-rate compression without commensurate growth upside.</w:t>
      </w:r>
    </w:p>
    <w:p>
      <w:pPr>
        <w:pStyle w:val="Compact"/>
        <w:numPr>
          <w:ilvl w:val="0"/>
          <w:numId w:val="1018"/>
        </w:numPr>
      </w:pPr>
      <w:r>
        <w:t xml:space="preserve">Rising leverage or unexpectedly heavy dilution.</w:t>
      </w:r>
    </w:p>
    <w:p>
      <w:r>
        <w:pict>
          <v:rect style="width:0;height:1.5pt" o:hralign="center" o:hrstd="t" o:hr="t"/>
        </w:pict>
      </w:r>
    </w:p>
    <w:bookmarkEnd w:id="30"/>
    <w:bookmarkEnd w:id="31"/>
    <w:bookmarkStart w:id="32" w:name="X12f053325472ac28f9bae2eb1254359fd9be28d"/>
    <w:p>
      <w:pPr>
        <w:pStyle w:val="Heading2"/>
      </w:pPr>
      <w:r>
        <w:t xml:space="preserve">Questions investors should want answered on the call</w:t>
      </w:r>
    </w:p>
    <w:p>
      <w:pPr>
        <w:pStyle w:val="Compact"/>
        <w:numPr>
          <w:ilvl w:val="0"/>
          <w:numId w:val="1019"/>
        </w:numPr>
      </w:pPr>
      <w:r>
        <w:t xml:space="preserve">How did SHOP occupancy and net move-ins trend in June and July?</w:t>
      </w:r>
    </w:p>
    <w:p>
      <w:pPr>
        <w:pStyle w:val="Compact"/>
        <w:numPr>
          <w:ilvl w:val="0"/>
          <w:numId w:val="1019"/>
        </w:numPr>
      </w:pPr>
      <w:r>
        <w:t xml:space="preserve">Is 16% full-year SHOP same-store NOI growth still conservative?</w:t>
      </w:r>
    </w:p>
    <w:p>
      <w:pPr>
        <w:pStyle w:val="Compact"/>
        <w:numPr>
          <w:ilvl w:val="0"/>
          <w:numId w:val="1019"/>
        </w:numPr>
      </w:pPr>
      <w:r>
        <w:t xml:space="preserve">How much of the $3 billion acquisition target is closed or under control?</w:t>
      </w:r>
    </w:p>
    <w:p>
      <w:pPr>
        <w:pStyle w:val="Compact"/>
        <w:numPr>
          <w:ilvl w:val="0"/>
          <w:numId w:val="1019"/>
        </w:numPr>
      </w:pPr>
      <w:r>
        <w:t xml:space="preserve">Have cap rates or expected IRRs changed since April?</w:t>
      </w:r>
    </w:p>
    <w:p>
      <w:pPr>
        <w:pStyle w:val="Compact"/>
        <w:numPr>
          <w:ilvl w:val="0"/>
          <w:numId w:val="1019"/>
        </w:numPr>
      </w:pPr>
      <w:r>
        <w:t xml:space="preserve">What early results is Ventas seeing at Revel?</w:t>
      </w:r>
    </w:p>
    <w:p>
      <w:pPr>
        <w:pStyle w:val="Compact"/>
        <w:numPr>
          <w:ilvl w:val="0"/>
          <w:numId w:val="1019"/>
        </w:numPr>
      </w:pPr>
      <w:r>
        <w:t xml:space="preserve">Are the 45 former Brookdale communities beginning to show occupancy improvement?</w:t>
      </w:r>
    </w:p>
    <w:p>
      <w:pPr>
        <w:pStyle w:val="Compact"/>
        <w:numPr>
          <w:ilvl w:val="0"/>
          <w:numId w:val="1019"/>
        </w:numPr>
      </w:pPr>
      <w:r>
        <w:t xml:space="preserve">How much equity was issued or forward-sold in Q2, and at what average price?</w:t>
      </w:r>
    </w:p>
    <w:p>
      <w:pPr>
        <w:pStyle w:val="Compact"/>
        <w:numPr>
          <w:ilvl w:val="0"/>
          <w:numId w:val="1019"/>
        </w:numPr>
      </w:pPr>
      <w:r>
        <w:t xml:space="preserve">Can leverage remain around or below 5.0x while investment volume stays elevated?</w:t>
      </w:r>
    </w:p>
    <w:p>
      <w:pPr>
        <w:pStyle w:val="Compact"/>
        <w:numPr>
          <w:ilvl w:val="0"/>
          <w:numId w:val="1019"/>
        </w:numPr>
      </w:pPr>
      <w:r>
        <w:t xml:space="preserve">What would prevent Ventas from raising full-year FFO guidance?</w:t>
      </w:r>
    </w:p>
    <w:p>
      <w:pPr>
        <w:pStyle w:val="Compact"/>
        <w:numPr>
          <w:ilvl w:val="0"/>
          <w:numId w:val="1019"/>
        </w:numPr>
      </w:pPr>
      <w:r>
        <w:t xml:space="preserve">When should investors expect incremental SHOP margins to move above the current roughly 50% level?</w:t>
      </w:r>
    </w:p>
    <w:bookmarkEnd w:id="32"/>
    <w:bookmarkStart w:id="33" w:name="bottom-line"/>
    <w:p>
      <w:pPr>
        <w:pStyle w:val="Heading2"/>
      </w:pPr>
      <w:r>
        <w:t xml:space="preserve">Bottom line</w:t>
      </w:r>
    </w:p>
    <w:p>
      <w:pPr>
        <w:pStyle w:val="FirstParagraph"/>
      </w:pPr>
      <w:r>
        <w:t xml:space="preserve">The fundamental backdrop remains highly favorable, and Q1 established strong momentum. But VTR’s valuation and full-year consensus leave little room for an ordinary quarter.</w:t>
      </w:r>
    </w:p>
    <w:p>
      <w:pPr>
        <w:pStyle w:val="BodyText"/>
      </w:pPr>
      <w:r>
        <w:t xml:space="preserve">The most investable signal would not be a penny-level FFO beat by itself. It would be confirmation that</w:t>
      </w:r>
      <w:r>
        <w:t xml:space="preserve"> </w:t>
      </w:r>
      <w:r>
        <w:rPr>
          <w:b/>
          <w:bCs/>
        </w:rPr>
        <w:t xml:space="preserve">SHOP occupancy, margins, acquisitions, and balance-sheet execution are reinforcing one another strongly enough to raise the company’s multiyear per-share growth trajectory</w:t>
      </w:r>
      <w:r>
        <w:t xml:space="preserve">. If Ventas delivers that combination—and raises guidance—the premium valuation can remain supported. If it only meets the numbers while leaving the outlook unchanged, the stock may struggle to respond despite sound underlying results.</w:t>
      </w:r>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r.ventasreit.com/news/news-details/2026/Ventas-Announces-Second-Quarter-2026-Earnings-Release-Date-and-Conference-Call/default.aspx" TargetMode="External" /><Relationship Type="http://schemas.openxmlformats.org/officeDocument/2006/relationships/hyperlink" Id="rId13" Target="https://ir.ventasreit.com/news/news-details/2026/Ventas-Reports-2026-First-Quarter-Results/default.aspx" TargetMode="External" /><Relationship Type="http://schemas.openxmlformats.org/officeDocument/2006/relationships/hyperlink" Id="rId11" Target="https://www.barchart.com/stocks/quotes/VTR/earnings-estimates" TargetMode="External" /></Relationships>
</file>

<file path=word/_rels/footnotes.xml.rels><?xml version="1.0" encoding="UTF-8"?><Relationships xmlns="http://schemas.openxmlformats.org/package/2006/relationships"><Relationship Type="http://schemas.openxmlformats.org/officeDocument/2006/relationships/hyperlink" Id="rId9" Target="https://ir.ventasreit.com/news/news-details/2026/Ventas-Announces-Second-Quarter-2026-Earnings-Release-Date-and-Conference-Call/default.aspx" TargetMode="External" /><Relationship Type="http://schemas.openxmlformats.org/officeDocument/2006/relationships/hyperlink" Id="rId13" Target="https://ir.ventasreit.com/news/news-details/2026/Ventas-Reports-2026-First-Quarter-Results/default.aspx" TargetMode="External" /><Relationship Type="http://schemas.openxmlformats.org/officeDocument/2006/relationships/hyperlink" Id="rId11" Target="https://www.barchart.com/stocks/quotes/VTR/earnings-estima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2026-07-29T02:17:24Z</dcterms:created>
  <dcterms:modified xsi:type="dcterms:W3CDTF">2026-07-29T02:17:24Z</dcterms:modified>
</cp:coreProperties>
</file>

<file path=docProps/custom.xml><?xml version="1.0" encoding="utf-8"?>
<Properties xmlns="http://schemas.openxmlformats.org/officeDocument/2006/custom-properties" xmlns:vt="http://schemas.openxmlformats.org/officeDocument/2006/docPropsVTypes"/>
</file>