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ventas-nyse-vtr--2q26-earnings-preview"/>
    <w:p>
      <w:pPr>
        <w:pStyle w:val="Heading1"/>
      </w:pPr>
      <w:r>
        <w:t xml:space="preserve">Ventas (NYSE: VTR) — 2Q26 Earnings Preview</w:t>
      </w:r>
    </w:p>
    <w:p>
      <w:pPr>
        <w:pStyle w:val="BlockText"/>
      </w:pPr>
      <w:r>
        <w:rPr>
          <w:b/>
          <w:bCs/>
        </w:rPr>
        <w:t xml:space="preserve">Timing note:</w:t>
      </w:r>
      <w:r>
        <w:t xml:space="preserve"> </w:t>
      </w:r>
      <w:r>
        <w:t xml:space="preserve">As of</w:t>
      </w:r>
      <w:r>
        <w:t xml:space="preserve"> </w:t>
      </w:r>
      <w:r>
        <w:rPr>
          <w:b/>
          <w:bCs/>
        </w:rPr>
        <w:t xml:space="preserve">Wednesday, July 29, 2026</w:t>
      </w:r>
      <w:r>
        <w:t xml:space="preserve">, the event date provided—</w:t>
      </w:r>
      <w:r>
        <w:rPr>
          <w:b/>
          <w:bCs/>
        </w:rPr>
        <w:t xml:space="preserve">2026Q2 earnings call on July 29</w:t>
      </w:r>
      <w:r>
        <w:t xml:space="preserve">—is</w:t>
      </w:r>
      <w:r>
        <w:t xml:space="preserve"> </w:t>
      </w:r>
      <w:r>
        <w:rPr>
          <w:b/>
          <w:bCs/>
        </w:rPr>
        <w:t xml:space="preserve">today</w:t>
      </w:r>
      <w:r>
        <w:t xml:space="preserve">, not tomorrow.</w:t>
      </w:r>
    </w:p>
    <w:bookmarkStart w:id="9" w:name="bottom-line"/>
    <w:p>
      <w:pPr>
        <w:pStyle w:val="Heading2"/>
      </w:pPr>
      <w:r>
        <w:t xml:space="preserve">Bottom line</w:t>
      </w:r>
    </w:p>
    <w:p>
      <w:pPr>
        <w:pStyle w:val="FirstParagraph"/>
      </w:pPr>
      <w:r>
        <w:t xml:space="preserve">Ventas enters 2Q26 with a high bar. The core senior-housing operating portfolio (</w:t>
      </w:r>
      <w:r>
        <w:rPr>
          <w:b/>
          <w:bCs/>
        </w:rPr>
        <w:t xml:space="preserve">SHOP</w:t>
      </w:r>
      <w:r>
        <w:t xml:space="preserve">) is benefiting from unusually favorable demographic and supply conditions, and management raised full-year guidance after a strong first quarter. But the stock has also reflected much of that momentum: VTR closed at</w:t>
      </w:r>
      <w:r>
        <w:t xml:space="preserve"> </w:t>
      </w:r>
      <w:r>
        <w:rPr>
          <w:b/>
          <w:bCs/>
        </w:rPr>
        <w:t xml:space="preserve">$98.16 on July 28</w:t>
      </w:r>
      <w:r>
        <w:t xml:space="preserve">, up approximately</w:t>
      </w:r>
      <w:r>
        <w:t xml:space="preserve"> </w:t>
      </w:r>
      <w:r>
        <w:rPr>
          <w:b/>
          <w:bCs/>
        </w:rPr>
        <w:t xml:space="preserve">15.9%</w:t>
      </w:r>
      <w:r>
        <w:t xml:space="preserve"> </w:t>
      </w:r>
      <w:r>
        <w:t xml:space="preserve">from its April 27 close ahead of 1Q results, after reaching $100.53 on July 24.</w:t>
      </w:r>
    </w:p>
    <w:p>
      <w:pPr>
        <w:pStyle w:val="BodyText"/>
      </w:pPr>
      <w:r>
        <w:t xml:space="preserve">For this report, the most consequential issue is not likely to be a small deviation from quarterly Normalized FFO expectations. It is whether Ventas can demonstrate that:</w:t>
      </w:r>
    </w:p>
    <w:p>
      <w:pPr>
        <w:pStyle w:val="Compact"/>
        <w:numPr>
          <w:ilvl w:val="0"/>
          <w:numId w:val="1001"/>
        </w:numPr>
      </w:pPr>
      <w:r>
        <w:rPr>
          <w:b/>
          <w:bCs/>
        </w:rPr>
        <w:t xml:space="preserve">SHOP occupancy and pricing remained strong through the beginning of the key May–September selling season;</w:t>
      </w:r>
    </w:p>
    <w:p>
      <w:pPr>
        <w:pStyle w:val="Compact"/>
        <w:numPr>
          <w:ilvl w:val="0"/>
          <w:numId w:val="1001"/>
        </w:numPr>
      </w:pPr>
      <w:r>
        <w:rPr>
          <w:b/>
          <w:bCs/>
        </w:rPr>
        <w:t xml:space="preserve">The 16% full-year same-store SHOP NOI growth outlook is intact or conservatively set;</w:t>
      </w:r>
    </w:p>
    <w:p>
      <w:pPr>
        <w:pStyle w:val="Compact"/>
        <w:numPr>
          <w:ilvl w:val="0"/>
          <w:numId w:val="1001"/>
        </w:numPr>
      </w:pPr>
      <w:r>
        <w:rPr>
          <w:b/>
          <w:bCs/>
        </w:rPr>
        <w:t xml:space="preserve">External growth is continuing without sacrificing underwriting discipline;</w:t>
      </w:r>
      <w:r>
        <w:t xml:space="preserve"> </w:t>
      </w:r>
      <w:r>
        <w:t xml:space="preserve">and</w:t>
      </w:r>
    </w:p>
    <w:p>
      <w:pPr>
        <w:pStyle w:val="Compact"/>
        <w:numPr>
          <w:ilvl w:val="0"/>
          <w:numId w:val="1001"/>
        </w:numPr>
      </w:pPr>
      <w:r>
        <w:rPr>
          <w:b/>
          <w:bCs/>
        </w:rPr>
        <w:t xml:space="preserve">Equity issuance, debt maturities, and acquisition funding remain accretive on a per-share basis.</w:t>
      </w:r>
    </w:p>
    <w:p>
      <w:pPr>
        <w:pStyle w:val="FirstParagraph"/>
      </w:pPr>
      <w:r>
        <w:t xml:space="preserve">My view:</w:t>
      </w:r>
      <w:r>
        <w:t xml:space="preserve"> </w:t>
      </w:r>
      <w:r>
        <w:rPr>
          <w:b/>
          <w:bCs/>
        </w:rPr>
        <w:t xml:space="preserve">fundamentals are favorable, but expectations are elevated.</w:t>
      </w:r>
      <w:r>
        <w:t xml:space="preserve"> </w:t>
      </w:r>
      <w:r>
        <w:t xml:space="preserve">A maintained full-year outlook paired with merely solid operating metrics may not be enough for a positive stock reaction. Investors likely need confirmation of sustained SHOP momentum and confidence that the acquisition program will add to—not dilute—per-share growth.</w:t>
      </w:r>
    </w:p>
    <w:p>
      <w:r>
        <w:pict>
          <v:rect style="width:0;height:1.5pt" o:hralign="center" o:hrstd="t" o:hr="t"/>
        </w:pict>
      </w:r>
    </w:p>
    <w:bookmarkEnd w:id="9"/>
    <w:bookmarkStart w:id="10" w:name="what-vtr-established-in-1q26"/>
    <w:p>
      <w:pPr>
        <w:pStyle w:val="Heading2"/>
      </w:pPr>
      <w:r>
        <w:t xml:space="preserve">What VTR established in 1Q26</w:t>
      </w:r>
    </w:p>
    <w:p>
      <w:pPr>
        <w:pStyle w:val="FirstParagraph"/>
      </w:pPr>
      <w:r>
        <w:t xml:space="preserve">Ventas reported a strong first quarter, led by SHOP: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metric</w:t>
            </w:r>
          </w:p>
        </w:tc>
        <w:tc>
          <w:tcPr/>
          <w:p>
            <w:pPr>
              <w:pStyle w:val="Compact"/>
              <w:jc w:val="right"/>
            </w:pPr>
            <w:r>
              <w:t xml:space="preserve">Result</w:t>
            </w:r>
          </w:p>
        </w:tc>
      </w:tr>
      <w:tr>
        <w:tc>
          <w:tcPr/>
          <w:p>
            <w:pPr>
              <w:pStyle w:val="Compact"/>
            </w:pPr>
            <w:r>
              <w:t xml:space="preserve">Normalized FFO/share</w:t>
            </w:r>
          </w:p>
        </w:tc>
        <w:tc>
          <w:tcPr/>
          <w:p>
            <w:pPr>
              <w:pStyle w:val="Compact"/>
              <w:jc w:val="right"/>
            </w:pPr>
            <w:r>
              <w:rPr>
                <w:b/>
                <w:bCs/>
              </w:rPr>
              <w:t xml:space="preserve">$0.94</w:t>
            </w:r>
            <w:r>
              <w:t xml:space="preserve">, +9% YoY</w:t>
            </w:r>
          </w:p>
        </w:tc>
      </w:tr>
      <w:tr>
        <w:tc>
          <w:tcPr/>
          <w:p>
            <w:pPr>
              <w:pStyle w:val="Compact"/>
            </w:pPr>
            <w:r>
              <w:t xml:space="preserve">Total same-store cash NOI growth</w:t>
            </w:r>
          </w:p>
        </w:tc>
        <w:tc>
          <w:tcPr/>
          <w:p>
            <w:pPr>
              <w:pStyle w:val="Compact"/>
              <w:jc w:val="right"/>
            </w:pPr>
            <w:r>
              <w:rPr>
                <w:b/>
                <w:bCs/>
              </w:rPr>
              <w:t xml:space="preserve">9%</w:t>
            </w:r>
            <w:r>
              <w:t xml:space="preserve"> </w:t>
            </w:r>
            <w:r>
              <w:t xml:space="preserve">YoY</w:t>
            </w:r>
          </w:p>
        </w:tc>
      </w:tr>
      <w:tr>
        <w:tc>
          <w:tcPr/>
          <w:p>
            <w:pPr>
              <w:pStyle w:val="Compact"/>
            </w:pPr>
            <w:r>
              <w:t xml:space="preserve">SHOP same-store cash NOI growth</w:t>
            </w:r>
          </w:p>
        </w:tc>
        <w:tc>
          <w:tcPr/>
          <w:p>
            <w:pPr>
              <w:pStyle w:val="Compact"/>
              <w:jc w:val="right"/>
            </w:pPr>
            <w:r>
              <w:rPr>
                <w:b/>
                <w:bCs/>
              </w:rPr>
              <w:t xml:space="preserve">15.4%</w:t>
            </w:r>
            <w:r>
              <w:t xml:space="preserve"> </w:t>
            </w:r>
            <w:r>
              <w:t xml:space="preserve">YoY</w:t>
            </w:r>
          </w:p>
        </w:tc>
      </w:tr>
      <w:tr>
        <w:tc>
          <w:tcPr/>
          <w:p>
            <w:pPr>
              <w:pStyle w:val="Compact"/>
            </w:pPr>
            <w:r>
              <w:t xml:space="preserve">SHOP same-store revenue growth</w:t>
            </w:r>
          </w:p>
        </w:tc>
        <w:tc>
          <w:tcPr/>
          <w:p>
            <w:pPr>
              <w:pStyle w:val="Compact"/>
              <w:jc w:val="right"/>
            </w:pPr>
            <w:r>
              <w:rPr>
                <w:b/>
                <w:bCs/>
              </w:rPr>
              <w:t xml:space="preserve">8.7%</w:t>
            </w:r>
            <w:r>
              <w:t xml:space="preserve"> </w:t>
            </w:r>
            <w:r>
              <w:t xml:space="preserve">YoY</w:t>
            </w:r>
          </w:p>
        </w:tc>
      </w:tr>
      <w:tr>
        <w:tc>
          <w:tcPr/>
          <w:p>
            <w:pPr>
              <w:pStyle w:val="Compact"/>
            </w:pPr>
            <w:r>
              <w:t xml:space="preserve">SHOP same-store occupancy</w:t>
            </w:r>
          </w:p>
        </w:tc>
        <w:tc>
          <w:tcPr/>
          <w:p>
            <w:pPr>
              <w:pStyle w:val="Compact"/>
              <w:jc w:val="right"/>
            </w:pPr>
            <w:r>
              <w:rPr>
                <w:b/>
                <w:bCs/>
              </w:rPr>
              <w:t xml:space="preserve">90.4%</w:t>
            </w:r>
            <w:r>
              <w:t xml:space="preserve">, +310 bps YoY</w:t>
            </w:r>
          </w:p>
        </w:tc>
      </w:tr>
      <w:tr>
        <w:tc>
          <w:tcPr/>
          <w:p>
            <w:pPr>
              <w:pStyle w:val="Compact"/>
            </w:pPr>
            <w:r>
              <w:t xml:space="preserve">SHOP RevPOR growth</w:t>
            </w:r>
          </w:p>
        </w:tc>
        <w:tc>
          <w:tcPr/>
          <w:p>
            <w:pPr>
              <w:pStyle w:val="Compact"/>
              <w:jc w:val="right"/>
            </w:pPr>
            <w:r>
              <w:rPr>
                <w:b/>
                <w:bCs/>
              </w:rPr>
              <w:t xml:space="preserve">5%</w:t>
            </w:r>
            <w:r>
              <w:t xml:space="preserve"> </w:t>
            </w:r>
            <w:r>
              <w:t xml:space="preserve">YoY</w:t>
            </w:r>
          </w:p>
        </w:tc>
      </w:tr>
      <w:tr>
        <w:tc>
          <w:tcPr/>
          <w:p>
            <w:pPr>
              <w:pStyle w:val="Compact"/>
            </w:pPr>
            <w:r>
              <w:t xml:space="preserve">SHOP NOI margin expansion</w:t>
            </w:r>
          </w:p>
        </w:tc>
        <w:tc>
          <w:tcPr/>
          <w:p>
            <w:pPr>
              <w:pStyle w:val="Compact"/>
              <w:jc w:val="right"/>
            </w:pPr>
            <w:r>
              <w:rPr>
                <w:b/>
                <w:bCs/>
              </w:rPr>
              <w:t xml:space="preserve">170 bps</w:t>
            </w:r>
            <w:r>
              <w:t xml:space="preserve"> </w:t>
            </w:r>
            <w:r>
              <w:t xml:space="preserve">YoY</w:t>
            </w:r>
          </w:p>
        </w:tc>
      </w:tr>
      <w:tr>
        <w:tc>
          <w:tcPr/>
          <w:p>
            <w:pPr>
              <w:pStyle w:val="Compact"/>
            </w:pPr>
            <w:r>
              <w:t xml:space="preserve">Net debt / further-adjusted EBITDA</w:t>
            </w:r>
          </w:p>
        </w:tc>
        <w:tc>
          <w:tcPr/>
          <w:p>
            <w:pPr>
              <w:pStyle w:val="Compact"/>
              <w:jc w:val="right"/>
            </w:pPr>
            <w:r>
              <w:rPr>
                <w:b/>
                <w:bCs/>
              </w:rPr>
              <w:t xml:space="preserve">5.0x</w:t>
            </w:r>
          </w:p>
        </w:tc>
      </w:tr>
      <w:tr>
        <w:tc>
          <w:tcPr/>
          <w:p>
            <w:pPr>
              <w:pStyle w:val="Compact"/>
            </w:pPr>
            <w:r>
              <w:t xml:space="preserve">Liquidity</w:t>
            </w:r>
          </w:p>
        </w:tc>
        <w:tc>
          <w:tcPr/>
          <w:p>
            <w:pPr>
              <w:pStyle w:val="Compact"/>
              <w:jc w:val="right"/>
            </w:pPr>
            <w:r>
              <w:rPr>
                <w:b/>
                <w:bCs/>
              </w:rPr>
              <w:t xml:space="preserve">$5.5 billion</w:t>
            </w:r>
          </w:p>
        </w:tc>
      </w:tr>
    </w:tbl>
    <w:p>
      <w:pPr>
        <w:pStyle w:val="BodyText"/>
      </w:pPr>
      <w:r>
        <w:t xml:space="preserve">Management raised 2026 Normalized FFO guidance to</w:t>
      </w:r>
      <w:r>
        <w:t xml:space="preserve"> </w:t>
      </w:r>
      <m:oMath>
        <m:r>
          <m:t>3.82</m:t>
        </m:r>
        <m:r>
          <m:rPr>
            <m:sty m:val="p"/>
          </m:rPr>
          <m:t>–</m:t>
        </m:r>
      </m:oMath>
      <w:r>
        <w:rPr>
          <w:b/>
          <w:bCs/>
        </w:rPr>
        <w:t xml:space="preserve">3.89 per share</w:t>
      </w:r>
      <w:r>
        <w:t xml:space="preserve">, or</w:t>
      </w:r>
      <w:r>
        <w:t xml:space="preserve"> </w:t>
      </w:r>
      <w:r>
        <w:rPr>
          <w:b/>
          <w:bCs/>
        </w:rPr>
        <w:t xml:space="preserve">$3.86 at the midpoint</w:t>
      </w:r>
      <w:r>
        <w:t xml:space="preserve">, from $3.83 previously. The revised outlook contemplated nearly</w:t>
      </w:r>
      <w:r>
        <w:t xml:space="preserve"> </w:t>
      </w:r>
      <w:r>
        <w:rPr>
          <w:b/>
          <w:bCs/>
        </w:rPr>
        <w:t xml:space="preserve">10% total-company same-store cash NOI growth</w:t>
      </w:r>
      <w:r>
        <w:t xml:space="preserve"> </w:t>
      </w:r>
      <w:r>
        <w:t xml:space="preserve">and</w:t>
      </w:r>
      <w:r>
        <w:t xml:space="preserve"> </w:t>
      </w:r>
      <w:r>
        <w:rPr>
          <w:b/>
          <w:bCs/>
        </w:rPr>
        <w:t xml:space="preserve">16% SHOP same-store NOI growth</w:t>
      </w:r>
      <w:r>
        <w:t xml:space="preserve"> </w:t>
      </w:r>
      <w:r>
        <w:t xml:space="preserve">at the midpoint.</w:t>
      </w:r>
    </w:p>
    <w:p>
      <w:pPr>
        <w:pStyle w:val="BodyText"/>
      </w:pPr>
      <w:r>
        <w:t xml:space="preserve">That guidance raise was driven primarily by stronger SHOP operating performance and acquisition accretion, partly offset by higher expected interest costs.</w:t>
      </w:r>
    </w:p>
    <w:p>
      <w:r>
        <w:pict>
          <v:rect style="width:0;height:1.5pt" o:hralign="center" o:hrstd="t" o:hr="t"/>
        </w:pict>
      </w:r>
    </w:p>
    <w:bookmarkEnd w:id="10"/>
    <w:bookmarkStart w:id="12" w:name="X0dfd2963b4c33b9e2dd317a08e2c12af4145de4"/>
    <w:p>
      <w:pPr>
        <w:pStyle w:val="Heading2"/>
      </w:pPr>
      <w:r>
        <w:t xml:space="preserve">The central debate: Can SHOP stay this strong?</w:t>
      </w:r>
    </w:p>
    <w:p>
      <w:pPr>
        <w:pStyle w:val="FirstParagraph"/>
      </w:pPr>
      <w:r>
        <w:t xml:space="preserve">SHOP represents the core of the VTR story. It generated</w:t>
      </w:r>
      <w:r>
        <w:t xml:space="preserve"> </w:t>
      </w:r>
      <w:r>
        <w:rPr>
          <w:b/>
          <w:bCs/>
        </w:rPr>
        <w:t xml:space="preserve">57.5% of total NOI</w:t>
      </w:r>
      <w:r>
        <w:t xml:space="preserve"> </w:t>
      </w:r>
      <w:r>
        <w:t xml:space="preserve">in 1Q, and senior housing represented more than 70% of the company’s real-estate investment mix at quarter-end.</w:t>
      </w:r>
    </w:p>
    <w:p>
      <w:pPr>
        <w:pStyle w:val="BodyText"/>
      </w:pPr>
      <w:r>
        <w:t xml:space="preserve">The setup remains unusually constructive:</w:t>
      </w:r>
    </w:p>
    <w:p>
      <w:pPr>
        <w:pStyle w:val="Compact"/>
        <w:numPr>
          <w:ilvl w:val="0"/>
          <w:numId w:val="1002"/>
        </w:numPr>
      </w:pPr>
      <w:r>
        <w:t xml:space="preserve">Demand is supported by the aging of the baby-boom cohort.</w:t>
      </w:r>
    </w:p>
    <w:p>
      <w:pPr>
        <w:pStyle w:val="Compact"/>
        <w:numPr>
          <w:ilvl w:val="0"/>
          <w:numId w:val="1002"/>
        </w:numPr>
      </w:pPr>
      <w:r>
        <w:t xml:space="preserve">New senior-housing construction remains low.</w:t>
      </w:r>
    </w:p>
    <w:p>
      <w:pPr>
        <w:pStyle w:val="Compact"/>
        <w:numPr>
          <w:ilvl w:val="0"/>
          <w:numId w:val="1002"/>
        </w:numPr>
      </w:pPr>
      <w:r>
        <w:t xml:space="preserve">Ventas has substantial exposure to communities that remain below stabilized occupancy, particularly in the U.S.</w:t>
      </w:r>
    </w:p>
    <w:p>
      <w:pPr>
        <w:pStyle w:val="Compact"/>
        <w:numPr>
          <w:ilvl w:val="0"/>
          <w:numId w:val="1002"/>
        </w:numPr>
      </w:pPr>
      <w:r>
        <w:t xml:space="preserve">Higher occupancy should support both revenue growth and operating leverage over time.</w:t>
      </w:r>
    </w:p>
    <w:p>
      <w:pPr>
        <w:pStyle w:val="FirstParagraph"/>
      </w:pPr>
      <w:r>
        <w:t xml:space="preserve">Management’s 1Q outlook assumed roughly:</w:t>
      </w:r>
    </w:p>
    <w:p>
      <w:pPr>
        <w:pStyle w:val="Compact"/>
        <w:numPr>
          <w:ilvl w:val="0"/>
          <w:numId w:val="1003"/>
        </w:numPr>
      </w:pPr>
      <w:r>
        <w:rPr>
          <w:b/>
          <w:bCs/>
        </w:rPr>
        <w:t xml:space="preserve">~300 bps</w:t>
      </w:r>
      <w:r>
        <w:t xml:space="preserve"> </w:t>
      </w:r>
      <w:r>
        <w:t xml:space="preserve">of full-year SHOP occupancy growth;</w:t>
      </w:r>
    </w:p>
    <w:p>
      <w:pPr>
        <w:pStyle w:val="Compact"/>
        <w:numPr>
          <w:ilvl w:val="0"/>
          <w:numId w:val="1003"/>
        </w:numPr>
      </w:pPr>
      <w:r>
        <w:rPr>
          <w:b/>
          <w:bCs/>
        </w:rPr>
        <w:t xml:space="preserve">~8.75%</w:t>
      </w:r>
      <w:r>
        <w:t xml:space="preserve"> </w:t>
      </w:r>
      <w:r>
        <w:t xml:space="preserve">SHOP revenue growth;</w:t>
      </w:r>
    </w:p>
    <w:p>
      <w:pPr>
        <w:pStyle w:val="Compact"/>
        <w:numPr>
          <w:ilvl w:val="0"/>
          <w:numId w:val="1003"/>
        </w:numPr>
      </w:pPr>
      <w:r>
        <w:rPr>
          <w:b/>
          <w:bCs/>
        </w:rPr>
        <w:t xml:space="preserve">~5.5%</w:t>
      </w:r>
      <w:r>
        <w:t xml:space="preserve"> </w:t>
      </w:r>
      <w:r>
        <w:t xml:space="preserve">SHOP operating-expense growth; and</w:t>
      </w:r>
    </w:p>
    <w:p>
      <w:pPr>
        <w:pStyle w:val="Compact"/>
        <w:numPr>
          <w:ilvl w:val="0"/>
          <w:numId w:val="1003"/>
        </w:numPr>
      </w:pPr>
      <w:r>
        <w:t xml:space="preserve">incremental margins remaining broadly in the</w:t>
      </w:r>
      <w:r>
        <w:t xml:space="preserve"> </w:t>
      </w:r>
      <w:r>
        <w:rPr>
          <w:b/>
          <w:bCs/>
        </w:rPr>
        <w:t xml:space="preserve">50% range</w:t>
      </w:r>
      <w:r>
        <w:t xml:space="preserve"> </w:t>
      </w:r>
      <w:r>
        <w:t xml:space="preserve">during the occupancy recovery.</w:t>
      </w:r>
    </w:p>
    <w:bookmarkStart w:id="11" w:name="what-needs-to-show-up-in-2q"/>
    <w:p>
      <w:pPr>
        <w:pStyle w:val="Heading3"/>
      </w:pPr>
      <w:r>
        <w:t xml:space="preserve">What needs to show up in 2Q</w:t>
      </w:r>
    </w:p>
    <w:p>
      <w:pPr>
        <w:pStyle w:val="FirstParagraph"/>
      </w:pPr>
      <w:r>
        <w:t xml:space="preserve">The critical indicators are:</w:t>
      </w:r>
    </w:p>
    <w:p>
      <w:pPr>
        <w:pStyle w:val="Compact"/>
        <w:numPr>
          <w:ilvl w:val="0"/>
          <w:numId w:val="1004"/>
        </w:numPr>
      </w:pPr>
      <w:r>
        <w:rPr>
          <w:b/>
          <w:bCs/>
        </w:rPr>
        <w:t xml:space="preserve">Occupancy growth:</w:t>
      </w:r>
      <w:r>
        <w:t xml:space="preserve"> </w:t>
      </w:r>
      <w:r>
        <w:t xml:space="preserve">Did same-store occupancy continue to advance from 90.4%, and did U.S. occupancy build ahead of the main selling season?</w:t>
      </w:r>
    </w:p>
    <w:p>
      <w:pPr>
        <w:pStyle w:val="Compact"/>
        <w:numPr>
          <w:ilvl w:val="0"/>
          <w:numId w:val="1004"/>
        </w:numPr>
      </w:pPr>
      <w:r>
        <w:rPr>
          <w:b/>
          <w:bCs/>
        </w:rPr>
        <w:t xml:space="preserve">Rate versus volume:</w:t>
      </w:r>
      <w:r>
        <w:t xml:space="preserve"> </w:t>
      </w:r>
      <w:r>
        <w:t xml:space="preserve">Ventas has emphasized volume/occupancy first, but in-place rate increases were running near 8% in early 2026. Investors should look for both healthy pricing and no deterioration in move-ins.</w:t>
      </w:r>
    </w:p>
    <w:p>
      <w:pPr>
        <w:pStyle w:val="Compact"/>
        <w:numPr>
          <w:ilvl w:val="0"/>
          <w:numId w:val="1004"/>
        </w:numPr>
      </w:pPr>
      <w:r>
        <w:rPr>
          <w:b/>
          <w:bCs/>
        </w:rPr>
        <w:t xml:space="preserve">Expense discipline:</w:t>
      </w:r>
      <w:r>
        <w:t xml:space="preserve"> </w:t>
      </w:r>
      <w:r>
        <w:t xml:space="preserve">Labor, food, weather-related costs, and sales/marketing spend can dilute the benefit of revenue growth. In 1Q, SHOP operating expenses rose 5.8%, including winter-weather effects and occupancy-related costs.</w:t>
      </w:r>
    </w:p>
    <w:p>
      <w:pPr>
        <w:pStyle w:val="Compact"/>
        <w:numPr>
          <w:ilvl w:val="0"/>
          <w:numId w:val="1004"/>
        </w:numPr>
      </w:pPr>
      <w:r>
        <w:rPr>
          <w:b/>
          <w:bCs/>
        </w:rPr>
        <w:t xml:space="preserve">Margin conversion:</w:t>
      </w:r>
      <w:r>
        <w:t xml:space="preserve"> </w:t>
      </w:r>
      <w:r>
        <w:t xml:space="preserve">As communities approach more mature occupancy levels, the long-term opportunity is higher incremental NOI margins. Any evidence that margins are moving beyond the 50% range would strengthen the multi-year FFO outlook.</w:t>
      </w:r>
    </w:p>
    <w:p>
      <w:pPr>
        <w:pStyle w:val="FirstParagraph"/>
      </w:pPr>
      <w:r>
        <w:rPr>
          <w:b/>
          <w:bCs/>
        </w:rPr>
        <w:t xml:space="preserve">Read-through:</w:t>
      </w:r>
      <w:r>
        <w:t xml:space="preserve"> </w:t>
      </w:r>
      <w:r>
        <w:t xml:space="preserve">If SHOP same-store NOI decelerates materially from the 15%-plus 1Q pace without a compelling timing explanation, the market may question the 16% full-year target. Conversely, continued double-digit NOI growth combined with strong occupancy gains would support another upward revision to expectations.</w:t>
      </w:r>
    </w:p>
    <w:p>
      <w:r>
        <w:pict>
          <v:rect style="width:0;height:1.5pt" o:hralign="center" o:hrstd="t" o:hr="t"/>
        </w:pict>
      </w:r>
    </w:p>
    <w:bookmarkEnd w:id="11"/>
    <w:bookmarkEnd w:id="12"/>
    <w:bookmarkStart w:id="14" w:name="Xb67efa586c8dd9488bdbe8bee5ba8a3f4a425f7"/>
    <w:p>
      <w:pPr>
        <w:pStyle w:val="Heading2"/>
      </w:pPr>
      <w:r>
        <w:t xml:space="preserve">External growth: attractive opportunity, rising execution burden</w:t>
      </w:r>
    </w:p>
    <w:p>
      <w:pPr>
        <w:pStyle w:val="FirstParagraph"/>
      </w:pPr>
      <w:r>
        <w:t xml:space="preserve">Ventas has leaned aggressively into senior-housing acquisitions:</w:t>
      </w:r>
    </w:p>
    <w:p>
      <w:pPr>
        <w:pStyle w:val="Compact"/>
        <w:numPr>
          <w:ilvl w:val="0"/>
          <w:numId w:val="1005"/>
        </w:numPr>
      </w:pPr>
      <w:r>
        <w:t xml:space="preserve">It acquired</w:t>
      </w:r>
      <w:r>
        <w:t xml:space="preserve"> </w:t>
      </w:r>
      <w:r>
        <w:rPr>
          <w:b/>
          <w:bCs/>
        </w:rPr>
        <w:t xml:space="preserve">29 communities for approximately $1.0 billion</w:t>
      </w:r>
      <w:r>
        <w:t xml:space="preserve"> </w:t>
      </w:r>
      <w:r>
        <w:t xml:space="preserve">in 1Q.</w:t>
      </w:r>
    </w:p>
    <w:p>
      <w:pPr>
        <w:pStyle w:val="Compact"/>
        <w:numPr>
          <w:ilvl w:val="0"/>
          <w:numId w:val="1005"/>
        </w:numPr>
      </w:pPr>
      <w:r>
        <w:t xml:space="preserve">Through April, it had closed</w:t>
      </w:r>
      <w:r>
        <w:t xml:space="preserve"> </w:t>
      </w:r>
      <w:r>
        <w:rPr>
          <w:b/>
          <w:bCs/>
        </w:rPr>
        <w:t xml:space="preserve">$1.7 billion</w:t>
      </w:r>
      <w:r>
        <w:t xml:space="preserve"> </w:t>
      </w:r>
      <w:r>
        <w:t xml:space="preserve">of senior-housing investments.</w:t>
      </w:r>
    </w:p>
    <w:p>
      <w:pPr>
        <w:pStyle w:val="Compact"/>
        <w:numPr>
          <w:ilvl w:val="0"/>
          <w:numId w:val="1005"/>
        </w:numPr>
      </w:pPr>
      <w:r>
        <w:t xml:space="preserve">It increased its 2026 investment target to approximately</w:t>
      </w:r>
      <w:r>
        <w:t xml:space="preserve"> </w:t>
      </w:r>
      <w:r>
        <w:rPr>
          <w:b/>
          <w:bCs/>
        </w:rPr>
        <w:t xml:space="preserve">$3 billion</w:t>
      </w:r>
      <w:r>
        <w:t xml:space="preserve">, concentrated in senior housing.</w:t>
      </w:r>
    </w:p>
    <w:p>
      <w:pPr>
        <w:pStyle w:val="FirstParagraph"/>
      </w:pPr>
      <w:r>
        <w:t xml:space="preserve">Management has argued that these opportunities can produce low- to mid-teens unlevered IRRs, supported by relationship sourcing, operating expertise, and buying below replacement cost.</w:t>
      </w:r>
    </w:p>
    <w:bookmarkStart w:id="13" w:name="revel-is-the-key-proof-point"/>
    <w:p>
      <w:pPr>
        <w:pStyle w:val="Heading3"/>
      </w:pPr>
      <w:r>
        <w:t xml:space="preserve">Revel is the key proof point</w:t>
      </w:r>
    </w:p>
    <w:p>
      <w:pPr>
        <w:pStyle w:val="FirstParagraph"/>
      </w:pPr>
      <w:r>
        <w:t xml:space="preserve">The most closely watched acquisition is the approximately</w:t>
      </w:r>
      <w:r>
        <w:t xml:space="preserve"> </w:t>
      </w:r>
      <w:r>
        <w:rPr>
          <w:b/>
          <w:bCs/>
        </w:rPr>
        <w:t xml:space="preserve">$540 million Revel portfolio</w:t>
      </w:r>
      <w:r>
        <w:t xml:space="preserve"> </w:t>
      </w:r>
      <w:r>
        <w:t xml:space="preserve">transaction: 11 luxury independent-living communities in high-growth western U.S. markets, with Ventas holding a 75% controlling interest. The portfolio’s mid-70% occupancy creates meaningful lease-up upside, but also introduces more execution risk than a fully stabilized acquisition.</w:t>
      </w:r>
    </w:p>
    <w:p>
      <w:pPr>
        <w:pStyle w:val="BodyText"/>
      </w:pPr>
      <w:r>
        <w:t xml:space="preserve">For 2Q, investors should want detail on:</w:t>
      </w:r>
    </w:p>
    <w:p>
      <w:pPr>
        <w:pStyle w:val="Compact"/>
        <w:numPr>
          <w:ilvl w:val="0"/>
          <w:numId w:val="1006"/>
        </w:numPr>
      </w:pPr>
      <w:r>
        <w:t xml:space="preserve">initial leasing and occupancy trends;</w:t>
      </w:r>
    </w:p>
    <w:p>
      <w:pPr>
        <w:pStyle w:val="Compact"/>
        <w:numPr>
          <w:ilvl w:val="0"/>
          <w:numId w:val="1006"/>
        </w:numPr>
      </w:pPr>
      <w:r>
        <w:t xml:space="preserve">early pricing and sales-process improvements from the Ventas OI platform;</w:t>
      </w:r>
    </w:p>
    <w:p>
      <w:pPr>
        <w:pStyle w:val="Compact"/>
        <w:numPr>
          <w:ilvl w:val="0"/>
          <w:numId w:val="1006"/>
        </w:numPr>
      </w:pPr>
      <w:r>
        <w:t xml:space="preserve">whether the assets are meeting underwriting assumptions;</w:t>
      </w:r>
    </w:p>
    <w:p>
      <w:pPr>
        <w:pStyle w:val="Compact"/>
        <w:numPr>
          <w:ilvl w:val="0"/>
          <w:numId w:val="1006"/>
        </w:numPr>
      </w:pPr>
      <w:r>
        <w:t xml:space="preserve">the timing of FFO contribution; and</w:t>
      </w:r>
    </w:p>
    <w:p>
      <w:pPr>
        <w:pStyle w:val="Compact"/>
        <w:numPr>
          <w:ilvl w:val="0"/>
          <w:numId w:val="1006"/>
        </w:numPr>
      </w:pPr>
      <w:r>
        <w:t xml:space="preserve">whether value-add acquisitions are becoming a larger portion of the acquisition mix.</w:t>
      </w:r>
    </w:p>
    <w:p>
      <w:pPr>
        <w:pStyle w:val="FirstParagraph"/>
      </w:pPr>
      <w:r>
        <w:t xml:space="preserve">A positive update would reinforce Ventas’s claim that its operating platform is a genuine competitive advantage. A slower-than-expected ramp would raise questions about underwriting, lease-up risk, and the sustainability of acquisition-driven FFO growth.</w:t>
      </w:r>
    </w:p>
    <w:p>
      <w:r>
        <w:pict>
          <v:rect style="width:0;height:1.5pt" o:hralign="center" o:hrstd="t" o:hr="t"/>
        </w:pict>
      </w:r>
    </w:p>
    <w:bookmarkEnd w:id="13"/>
    <w:bookmarkEnd w:id="14"/>
    <w:bookmarkStart w:id="15" w:name="Xfb87402c7964a3bfede7ace81dd81f2aa5b0638"/>
    <w:p>
      <w:pPr>
        <w:pStyle w:val="Heading2"/>
      </w:pPr>
      <w:r>
        <w:t xml:space="preserve">Brookdale transitions: a 2027 opportunity, but 2026 execution matters</w:t>
      </w:r>
    </w:p>
    <w:p>
      <w:pPr>
        <w:pStyle w:val="FirstParagraph"/>
      </w:pPr>
      <w:r>
        <w:t xml:space="preserve">Ventas transitioned 45 former Brookdale assets into SHOP around late 2025 and early 2026. Management characterized 2026 as the year to complete capital investment, operator integration, and operational repositioning, with the larger NOI growth opportunity arriving in</w:t>
      </w:r>
      <w:r>
        <w:t xml:space="preserve"> </w:t>
      </w:r>
      <w:r>
        <w:rPr>
          <w:b/>
          <w:bCs/>
        </w:rPr>
        <w:t xml:space="preserve">2027 and beyond</w:t>
      </w:r>
      <w:r>
        <w:t xml:space="preserve">.</w:t>
      </w:r>
    </w:p>
    <w:p>
      <w:pPr>
        <w:pStyle w:val="BodyText"/>
      </w:pPr>
      <w:r>
        <w:t xml:space="preserve">The company has previously indicated an ambition to roughly double NOI from a roughly</w:t>
      </w:r>
      <w:r>
        <w:t xml:space="preserve"> </w:t>
      </w:r>
      <w:r>
        <w:rPr>
          <w:b/>
          <w:bCs/>
        </w:rPr>
        <w:t xml:space="preserve">$50 million</w:t>
      </w:r>
      <w:r>
        <w:t xml:space="preserve"> </w:t>
      </w:r>
      <w:r>
        <w:t xml:space="preserve">run rate over several years.</w:t>
      </w:r>
    </w:p>
    <w:p>
      <w:pPr>
        <w:pStyle w:val="BodyText"/>
      </w:pPr>
      <w:r>
        <w:t xml:space="preserve">This means 2Q results do not need to show major profit contribution yet. But investors should monitor:</w:t>
      </w:r>
    </w:p>
    <w:p>
      <w:pPr>
        <w:pStyle w:val="Compact"/>
        <w:numPr>
          <w:ilvl w:val="0"/>
          <w:numId w:val="1007"/>
        </w:numPr>
      </w:pPr>
      <w:r>
        <w:t xml:space="preserve">capital-expenditure completion;</w:t>
      </w:r>
    </w:p>
    <w:p>
      <w:pPr>
        <w:pStyle w:val="Compact"/>
        <w:numPr>
          <w:ilvl w:val="0"/>
          <w:numId w:val="1007"/>
        </w:numPr>
      </w:pPr>
      <w:r>
        <w:t xml:space="preserve">occupancy trends following the operator transitions;</w:t>
      </w:r>
    </w:p>
    <w:p>
      <w:pPr>
        <w:pStyle w:val="Compact"/>
        <w:numPr>
          <w:ilvl w:val="0"/>
          <w:numId w:val="1007"/>
        </w:numPr>
      </w:pPr>
      <w:r>
        <w:t xml:space="preserve">community-level sales execution during the selling season; and</w:t>
      </w:r>
    </w:p>
    <w:p>
      <w:pPr>
        <w:pStyle w:val="Compact"/>
        <w:numPr>
          <w:ilvl w:val="0"/>
          <w:numId w:val="1007"/>
        </w:numPr>
      </w:pPr>
      <w:r>
        <w:t xml:space="preserve">whether stabilization timelines remain credible.</w:t>
      </w:r>
    </w:p>
    <w:p>
      <w:pPr>
        <w:pStyle w:val="FirstParagraph"/>
      </w:pPr>
      <w:r>
        <w:t xml:space="preserve">This is an important medium-term upside lever, but it could become a drag if capex, staffing, or lease-up execution slips.</w:t>
      </w:r>
    </w:p>
    <w:p>
      <w:r>
        <w:pict>
          <v:rect style="width:0;height:1.5pt" o:hralign="center" o:hrstd="t" o:hr="t"/>
        </w:pict>
      </w:r>
    </w:p>
    <w:bookmarkEnd w:id="15"/>
    <w:bookmarkStart w:id="17" w:name="X052bbe9c30e8a22f00e84a7146d76e25f31b28e"/>
    <w:p>
      <w:pPr>
        <w:pStyle w:val="Heading2"/>
      </w:pPr>
      <w:r>
        <w:t xml:space="preserve">Funding, dilution, and leverage are the principal financial checks</w:t>
      </w:r>
    </w:p>
    <w:p>
      <w:pPr>
        <w:pStyle w:val="FirstParagraph"/>
      </w:pPr>
      <w:r>
        <w:t xml:space="preserve">Ventas has funded its growth program from a position of substantial liquidity, but the capital plan deserves close attention.</w:t>
      </w:r>
    </w:p>
    <w:p>
      <w:pPr>
        <w:pStyle w:val="BodyText"/>
      </w:pPr>
      <w:r>
        <w:t xml:space="preserve">As of late April, the company had:</w:t>
      </w:r>
    </w:p>
    <w:p>
      <w:pPr>
        <w:pStyle w:val="Compact"/>
        <w:numPr>
          <w:ilvl w:val="0"/>
          <w:numId w:val="1008"/>
        </w:numPr>
      </w:pPr>
      <w:r>
        <w:t xml:space="preserve">raised roughly</w:t>
      </w:r>
      <w:r>
        <w:t xml:space="preserve"> </w:t>
      </w:r>
      <w:r>
        <w:rPr>
          <w:b/>
          <w:bCs/>
        </w:rPr>
        <w:t xml:space="preserve">$2.4 billion of equity capital</w:t>
      </w:r>
      <w:r>
        <w:t xml:space="preserve"> </w:t>
      </w:r>
      <w:r>
        <w:t xml:space="preserve">designated for 2026 investment activity;</w:t>
      </w:r>
    </w:p>
    <w:p>
      <w:pPr>
        <w:pStyle w:val="Compact"/>
        <w:numPr>
          <w:ilvl w:val="0"/>
          <w:numId w:val="1008"/>
        </w:numPr>
      </w:pPr>
      <w:r>
        <w:t xml:space="preserve">approximately</w:t>
      </w:r>
      <w:r>
        <w:t xml:space="preserve"> </w:t>
      </w:r>
      <w:r>
        <w:rPr>
          <w:b/>
          <w:bCs/>
        </w:rPr>
        <w:t xml:space="preserve">$1.6 billion</w:t>
      </w:r>
      <w:r>
        <w:t xml:space="preserve"> </w:t>
      </w:r>
      <w:r>
        <w:t xml:space="preserve">of unsettled forward equity sales agreements;</w:t>
      </w:r>
    </w:p>
    <w:p>
      <w:pPr>
        <w:pStyle w:val="Compact"/>
        <w:numPr>
          <w:ilvl w:val="0"/>
          <w:numId w:val="1008"/>
        </w:numPr>
      </w:pPr>
      <w:r>
        <w:rPr>
          <w:b/>
          <w:bCs/>
        </w:rPr>
        <w:t xml:space="preserve">$5.5 billion</w:t>
      </w:r>
      <w:r>
        <w:t xml:space="preserve"> </w:t>
      </w:r>
      <w:r>
        <w:t xml:space="preserve">of liquidity; and</w:t>
      </w:r>
    </w:p>
    <w:p>
      <w:pPr>
        <w:pStyle w:val="Compact"/>
        <w:numPr>
          <w:ilvl w:val="0"/>
          <w:numId w:val="1008"/>
        </w:numPr>
      </w:pPr>
      <w:r>
        <w:t xml:space="preserve">net debt to further-adjusted EBITDA of</w:t>
      </w:r>
      <w:r>
        <w:t xml:space="preserve"> </w:t>
      </w:r>
      <w:r>
        <w:rPr>
          <w:b/>
          <w:bCs/>
        </w:rPr>
        <w:t xml:space="preserve">5.0x</w:t>
      </w:r>
      <w:r>
        <w:t xml:space="preserve">, its tenth consecutive quarter of sequential improvement.</w:t>
      </w:r>
    </w:p>
    <w:p>
      <w:pPr>
        <w:pStyle w:val="FirstParagraph"/>
      </w:pPr>
      <w:r>
        <w:t xml:space="preserve">The equity funding lowers leverage risk and supports acquisition capacity, but it also raises the share count. Full-year guidance assumed</w:t>
      </w:r>
      <w:r>
        <w:t xml:space="preserve"> </w:t>
      </w:r>
      <w:r>
        <w:rPr>
          <w:b/>
          <w:bCs/>
        </w:rPr>
        <w:t xml:space="preserve">504 million weighted-average diluted shares</w:t>
      </w:r>
      <w:r>
        <w:t xml:space="preserve">, versus approximately 487 million in 1Q.</w:t>
      </w:r>
    </w:p>
    <w:bookmarkStart w:id="16" w:name="specific-2q-funding-items-to-watch"/>
    <w:p>
      <w:pPr>
        <w:pStyle w:val="Heading3"/>
      </w:pPr>
      <w:r>
        <w:t xml:space="preserve">Specific 2Q funding items to watch</w:t>
      </w:r>
    </w:p>
    <w:p>
      <w:pPr>
        <w:pStyle w:val="Compact"/>
        <w:numPr>
          <w:ilvl w:val="0"/>
          <w:numId w:val="1009"/>
        </w:numPr>
      </w:pPr>
      <w:r>
        <w:rPr>
          <w:b/>
          <w:bCs/>
        </w:rPr>
        <w:t xml:space="preserve">Accretion versus dilution:</w:t>
      </w:r>
      <w:r>
        <w:t xml:space="preserve"> </w:t>
      </w:r>
      <w:r>
        <w:t xml:space="preserve">Is acquired NOI arriving fast enough to offset the higher share count?</w:t>
      </w:r>
    </w:p>
    <w:p>
      <w:pPr>
        <w:pStyle w:val="Compact"/>
        <w:numPr>
          <w:ilvl w:val="0"/>
          <w:numId w:val="1009"/>
        </w:numPr>
      </w:pPr>
      <w:r>
        <w:rPr>
          <w:b/>
          <w:bCs/>
        </w:rPr>
        <w:t xml:space="preserve">Forward-equity settlement cadence:</w:t>
      </w:r>
      <w:r>
        <w:t xml:space="preserve"> </w:t>
      </w:r>
      <w:r>
        <w:t xml:space="preserve">How much of the $1.6 billion forward-equity balance has been settled, and what remains?</w:t>
      </w:r>
    </w:p>
    <w:p>
      <w:pPr>
        <w:pStyle w:val="Compact"/>
        <w:numPr>
          <w:ilvl w:val="0"/>
          <w:numId w:val="1009"/>
        </w:numPr>
      </w:pPr>
      <w:r>
        <w:rPr>
          <w:b/>
          <w:bCs/>
        </w:rPr>
        <w:t xml:space="preserve">Debt maturity resolution:</w:t>
      </w:r>
      <w:r>
        <w:t xml:space="preserve"> </w:t>
      </w:r>
      <w:r>
        <w:t xml:space="preserve">As of March 31, Ventas had approximately</w:t>
      </w:r>
      <w:r>
        <w:t xml:space="preserve"> </w:t>
      </w:r>
      <w:r>
        <w:rPr>
          <w:b/>
          <w:bCs/>
        </w:rPr>
        <w:t xml:space="preserve">$856 million</w:t>
      </w:r>
      <w:r>
        <w:t xml:space="preserve"> </w:t>
      </w:r>
      <w:r>
        <w:t xml:space="preserve">of 3.75% exchangeable notes maturing on</w:t>
      </w:r>
      <w:r>
        <w:t xml:space="preserve"> </w:t>
      </w:r>
      <w:r>
        <w:rPr>
          <w:b/>
          <w:bCs/>
        </w:rPr>
        <w:t xml:space="preserve">June 1, 2026</w:t>
      </w:r>
      <w:r>
        <w:t xml:space="preserve">. Investors should expect clarity on repayment, conversions, refinancing, and any incremental share impact.</w:t>
      </w:r>
    </w:p>
    <w:p>
      <w:pPr>
        <w:pStyle w:val="Compact"/>
        <w:numPr>
          <w:ilvl w:val="0"/>
          <w:numId w:val="1009"/>
        </w:numPr>
      </w:pPr>
      <w:r>
        <w:rPr>
          <w:b/>
          <w:bCs/>
        </w:rPr>
        <w:t xml:space="preserve">Leverage trajectory:</w:t>
      </w:r>
      <w:r>
        <w:t xml:space="preserve"> </w:t>
      </w:r>
      <w:r>
        <w:t xml:space="preserve">The company has guided to further improvement through the year. Holding or improving around 5.0x while continuing to invest would be constructive.</w:t>
      </w:r>
    </w:p>
    <w:p>
      <w:r>
        <w:pict>
          <v:rect style="width:0;height:1.5pt" o:hralign="center" o:hrstd="t" o:hr="t"/>
        </w:pict>
      </w:r>
    </w:p>
    <w:bookmarkEnd w:id="16"/>
    <w:bookmarkEnd w:id="17"/>
    <w:bookmarkStart w:id="20" w:name="X90fccc6905efcddbf1c8457297becb8def05d45"/>
    <w:p>
      <w:pPr>
        <w:pStyle w:val="Heading2"/>
      </w:pPr>
      <w:r>
        <w:t xml:space="preserve">The non-SHOP portfolio: stable is probably sufficient</w:t>
      </w:r>
    </w:p>
    <w:p>
      <w:pPr>
        <w:pStyle w:val="FirstParagraph"/>
      </w:pPr>
      <w:r>
        <w:t xml:space="preserve">The rest of the portfolio is less likely to drive the earnings reaction, but it matters for total-company guidance.</w:t>
      </w:r>
    </w:p>
    <w:bookmarkStart w:id="18" w:name="outpatient-medical--research-omr"/>
    <w:p>
      <w:pPr>
        <w:pStyle w:val="Heading3"/>
      </w:pPr>
      <w:r>
        <w:t xml:space="preserve">Outpatient Medical &amp; Research (OM&amp;R)</w:t>
      </w:r>
    </w:p>
    <w:p>
      <w:pPr>
        <w:pStyle w:val="FirstParagraph"/>
      </w:pPr>
      <w:r>
        <w:t xml:space="preserve">OM&amp;R generated</w:t>
      </w:r>
      <w:r>
        <w:t xml:space="preserve"> </w:t>
      </w:r>
      <w:r>
        <w:rPr>
          <w:b/>
          <w:bCs/>
        </w:rPr>
        <w:t xml:space="preserve">2.4% same-store cash NOI growth</w:t>
      </w:r>
      <w:r>
        <w:t xml:space="preserve"> </w:t>
      </w:r>
      <w:r>
        <w:t xml:space="preserve">in 1Q, with outpatient-medical occupancy near 91%. This is a modest, useful contributor, but not the central growth engine.</w:t>
      </w:r>
    </w:p>
    <w:p>
      <w:pPr>
        <w:pStyle w:val="BodyText"/>
      </w:pPr>
      <w:r>
        <w:t xml:space="preserve">Investors should look for:</w:t>
      </w:r>
    </w:p>
    <w:p>
      <w:pPr>
        <w:pStyle w:val="Compact"/>
        <w:numPr>
          <w:ilvl w:val="0"/>
          <w:numId w:val="1010"/>
        </w:numPr>
      </w:pPr>
      <w:r>
        <w:t xml:space="preserve">continued occupancy and leasing gains;</w:t>
      </w:r>
    </w:p>
    <w:p>
      <w:pPr>
        <w:pStyle w:val="Compact"/>
        <w:numPr>
          <w:ilvl w:val="0"/>
          <w:numId w:val="1010"/>
        </w:numPr>
      </w:pPr>
      <w:r>
        <w:t xml:space="preserve">stable tenant retention;</w:t>
      </w:r>
    </w:p>
    <w:p>
      <w:pPr>
        <w:pStyle w:val="Compact"/>
        <w:numPr>
          <w:ilvl w:val="0"/>
          <w:numId w:val="1010"/>
        </w:numPr>
      </w:pPr>
      <w:r>
        <w:t xml:space="preserve">limited expense pressure; and</w:t>
      </w:r>
    </w:p>
    <w:p>
      <w:pPr>
        <w:pStyle w:val="Compact"/>
        <w:numPr>
          <w:ilvl w:val="0"/>
          <w:numId w:val="1010"/>
        </w:numPr>
      </w:pPr>
      <w:r>
        <w:t xml:space="preserve">any update on research/life-science conditions.</w:t>
      </w:r>
    </w:p>
    <w:bookmarkEnd w:id="18"/>
    <w:bookmarkStart w:id="19" w:name="triple-net-nnn"/>
    <w:p>
      <w:pPr>
        <w:pStyle w:val="Heading3"/>
      </w:pPr>
      <w:r>
        <w:t xml:space="preserve">Triple-net (NNN)</w:t>
      </w:r>
    </w:p>
    <w:p>
      <w:pPr>
        <w:pStyle w:val="FirstParagraph"/>
      </w:pPr>
      <w:r>
        <w:t xml:space="preserve">NNN same-store cash NOI grew</w:t>
      </w:r>
      <w:r>
        <w:t xml:space="preserve"> </w:t>
      </w:r>
      <w:r>
        <w:rPr>
          <w:b/>
          <w:bCs/>
        </w:rPr>
        <w:t xml:space="preserve">1.6%</w:t>
      </w:r>
      <w:r>
        <w:t xml:space="preserve"> </w:t>
      </w:r>
      <w:r>
        <w:t xml:space="preserve">in 1Q. The reported segment NOI decline largely reflected property dispositions and conversions of senior-housing assets into SHOP rather than fundamental weakness.</w:t>
      </w:r>
    </w:p>
    <w:p>
      <w:pPr>
        <w:pStyle w:val="BodyText"/>
      </w:pPr>
      <w:r>
        <w:t xml:space="preserve">The key takeaway is that the legacy portfolio should remain stable enough to avoid offsetting SHOP’s growth. A negative surprise in tenant performance, lease matters, or asset impairments would be unwelcome given the market’s focus on the senior-housing growth thesis.</w:t>
      </w:r>
    </w:p>
    <w:p>
      <w:r>
        <w:pict>
          <v:rect style="width:0;height:1.5pt" o:hralign="center" o:hrstd="t" o:hr="t"/>
        </w:pict>
      </w:r>
    </w:p>
    <w:bookmarkEnd w:id="19"/>
    <w:bookmarkEnd w:id="20"/>
    <w:bookmarkStart w:id="24" w:name="X047a2fa570270e607144b0ded13667a029c18a8"/>
    <w:p>
      <w:pPr>
        <w:pStyle w:val="Heading2"/>
      </w:pPr>
      <w:r>
        <w:t xml:space="preserve">What would constitute a bullish, neutral, or bearish print?</w:t>
      </w:r>
    </w:p>
    <w:bookmarkStart w:id="21" w:name="bullish-outcome"/>
    <w:p>
      <w:pPr>
        <w:pStyle w:val="Heading3"/>
      </w:pPr>
      <w:r>
        <w:t xml:space="preserve">Bullish outcome</w:t>
      </w:r>
    </w:p>
    <w:p>
      <w:pPr>
        <w:pStyle w:val="Compact"/>
        <w:numPr>
          <w:ilvl w:val="0"/>
          <w:numId w:val="1011"/>
        </w:numPr>
      </w:pPr>
      <w:r>
        <w:t xml:space="preserve">SHOP same-store NOI remains at or above the mid-teens.</w:t>
      </w:r>
    </w:p>
    <w:p>
      <w:pPr>
        <w:pStyle w:val="Compact"/>
        <w:numPr>
          <w:ilvl w:val="0"/>
          <w:numId w:val="1011"/>
        </w:numPr>
      </w:pPr>
      <w:r>
        <w:t xml:space="preserve">Occupancy growth remains strong entering the key selling season.</w:t>
      </w:r>
    </w:p>
    <w:p>
      <w:pPr>
        <w:pStyle w:val="Compact"/>
        <w:numPr>
          <w:ilvl w:val="0"/>
          <w:numId w:val="1011"/>
        </w:numPr>
      </w:pPr>
      <w:r>
        <w:t xml:space="preserve">Revenue growth and margins meet or exceed the framework underlying guidance.</w:t>
      </w:r>
    </w:p>
    <w:p>
      <w:pPr>
        <w:pStyle w:val="Compact"/>
        <w:numPr>
          <w:ilvl w:val="0"/>
          <w:numId w:val="1011"/>
        </w:numPr>
      </w:pPr>
      <w:r>
        <w:t xml:space="preserve">Management raises 2026 Normalized FFO or SHOP NOI guidance.</w:t>
      </w:r>
    </w:p>
    <w:p>
      <w:pPr>
        <w:pStyle w:val="Compact"/>
        <w:numPr>
          <w:ilvl w:val="0"/>
          <w:numId w:val="1011"/>
        </w:numPr>
      </w:pPr>
      <w:r>
        <w:t xml:space="preserve">Acquisition pace supports the $3 billion target while underwriting remains disciplined.</w:t>
      </w:r>
    </w:p>
    <w:p>
      <w:pPr>
        <w:pStyle w:val="Compact"/>
        <w:numPr>
          <w:ilvl w:val="0"/>
          <w:numId w:val="1011"/>
        </w:numPr>
      </w:pPr>
      <w:r>
        <w:t xml:space="preserve">Revel and Brookdale-transition commentary suggests execution is on schedule.</w:t>
      </w:r>
    </w:p>
    <w:p>
      <w:pPr>
        <w:pStyle w:val="Compact"/>
        <w:numPr>
          <w:ilvl w:val="0"/>
          <w:numId w:val="1011"/>
        </w:numPr>
      </w:pPr>
      <w:r>
        <w:t xml:space="preserve">Leverage declines further despite continued investment.</w:t>
      </w:r>
    </w:p>
    <w:bookmarkEnd w:id="21"/>
    <w:bookmarkStart w:id="22" w:name="neutral--good-but-priced-in-outcome"/>
    <w:p>
      <w:pPr>
        <w:pStyle w:val="Heading3"/>
      </w:pPr>
      <w:r>
        <w:t xml:space="preserve">Neutral / “good but priced in” outcome</w:t>
      </w:r>
    </w:p>
    <w:p>
      <w:pPr>
        <w:pStyle w:val="Compact"/>
        <w:numPr>
          <w:ilvl w:val="0"/>
          <w:numId w:val="1012"/>
        </w:numPr>
      </w:pPr>
      <w:r>
        <w:t xml:space="preserve">Normalized FFO meets expectations.</w:t>
      </w:r>
    </w:p>
    <w:p>
      <w:pPr>
        <w:pStyle w:val="Compact"/>
        <w:numPr>
          <w:ilvl w:val="0"/>
          <w:numId w:val="1012"/>
        </w:numPr>
      </w:pPr>
      <w:r>
        <w:t xml:space="preserve">SHOP trends remain healthy but modestly below 1Q’s pace.</w:t>
      </w:r>
    </w:p>
    <w:p>
      <w:pPr>
        <w:pStyle w:val="Compact"/>
        <w:numPr>
          <w:ilvl w:val="0"/>
          <w:numId w:val="1012"/>
        </w:numPr>
      </w:pPr>
      <w:r>
        <w:t xml:space="preserve">Full-year guidance is reiterated rather than raised.</w:t>
      </w:r>
    </w:p>
    <w:p>
      <w:pPr>
        <w:pStyle w:val="Compact"/>
        <w:numPr>
          <w:ilvl w:val="0"/>
          <w:numId w:val="1012"/>
        </w:numPr>
      </w:pPr>
      <w:r>
        <w:t xml:space="preserve">Management emphasizes that most of the selling-season performance lies ahead.</w:t>
      </w:r>
    </w:p>
    <w:p>
      <w:pPr>
        <w:pStyle w:val="Compact"/>
        <w:numPr>
          <w:ilvl w:val="0"/>
          <w:numId w:val="1012"/>
        </w:numPr>
      </w:pPr>
      <w:r>
        <w:t xml:space="preserve">Acquisition activity and funding are broadly on plan, but there is no new evidence of upside.</w:t>
      </w:r>
    </w:p>
    <w:bookmarkEnd w:id="22"/>
    <w:bookmarkStart w:id="23" w:name="bearish-outcome"/>
    <w:p>
      <w:pPr>
        <w:pStyle w:val="Heading3"/>
      </w:pPr>
      <w:r>
        <w:t xml:space="preserve">Bearish outcome</w:t>
      </w:r>
    </w:p>
    <w:p>
      <w:pPr>
        <w:pStyle w:val="Compact"/>
        <w:numPr>
          <w:ilvl w:val="0"/>
          <w:numId w:val="1013"/>
        </w:numPr>
      </w:pPr>
      <w:r>
        <w:t xml:space="preserve">SHOP occupancy, RevPOR, or NOI growth slows enough to put the 16% full-year NOI target in doubt.</w:t>
      </w:r>
    </w:p>
    <w:p>
      <w:pPr>
        <w:pStyle w:val="Compact"/>
        <w:numPr>
          <w:ilvl w:val="0"/>
          <w:numId w:val="1013"/>
        </w:numPr>
      </w:pPr>
      <w:r>
        <w:t xml:space="preserve">Expense growth accelerates and compresses margins.</w:t>
      </w:r>
    </w:p>
    <w:p>
      <w:pPr>
        <w:pStyle w:val="Compact"/>
        <w:numPr>
          <w:ilvl w:val="0"/>
          <w:numId w:val="1013"/>
        </w:numPr>
      </w:pPr>
      <w:r>
        <w:t xml:space="preserve">Revel lease-up or Brookdale-transition assets fall behind expectations.</w:t>
      </w:r>
    </w:p>
    <w:p>
      <w:pPr>
        <w:pStyle w:val="Compact"/>
        <w:numPr>
          <w:ilvl w:val="0"/>
          <w:numId w:val="1013"/>
        </w:numPr>
      </w:pPr>
      <w:r>
        <w:t xml:space="preserve">Management reduces investment expectations, indicates weaker deal economics, or flags greater competition.</w:t>
      </w:r>
    </w:p>
    <w:p>
      <w:pPr>
        <w:pStyle w:val="Compact"/>
        <w:numPr>
          <w:ilvl w:val="0"/>
          <w:numId w:val="1013"/>
        </w:numPr>
      </w:pPr>
      <w:r>
        <w:t xml:space="preserve">Equity dilution exceeds expectations without a matching FFO contribution.</w:t>
      </w:r>
    </w:p>
    <w:p>
      <w:pPr>
        <w:pStyle w:val="Compact"/>
        <w:numPr>
          <w:ilvl w:val="0"/>
          <w:numId w:val="1013"/>
        </w:numPr>
      </w:pPr>
      <w:r>
        <w:t xml:space="preserve">Guidance is cut or maintained with a notably more cautious outlook.</w:t>
      </w:r>
    </w:p>
    <w:p>
      <w:r>
        <w:pict>
          <v:rect style="width:0;height:1.5pt" o:hralign="center" o:hrstd="t" o:hr="t"/>
        </w:pict>
      </w:r>
    </w:p>
    <w:bookmarkEnd w:id="23"/>
    <w:bookmarkEnd w:id="24"/>
    <w:bookmarkStart w:id="25" w:name="X9116bec721e8ecc27edd7ff5882de2109353ab2"/>
    <w:p>
      <w:pPr>
        <w:pStyle w:val="Heading2"/>
      </w:pPr>
      <w:r>
        <w:t xml:space="preserve">Questions investors should ask on the call</w:t>
      </w:r>
    </w:p>
    <w:p>
      <w:pPr>
        <w:pStyle w:val="Compact"/>
        <w:numPr>
          <w:ilvl w:val="0"/>
          <w:numId w:val="1014"/>
        </w:numPr>
      </w:pPr>
      <w:r>
        <w:rPr>
          <w:b/>
          <w:bCs/>
        </w:rPr>
        <w:t xml:space="preserve">How did SHOP same-store occupancy progress from 1Q through July, particularly in the U.S.?</w:t>
      </w:r>
    </w:p>
    <w:p>
      <w:pPr>
        <w:pStyle w:val="Compact"/>
        <w:numPr>
          <w:ilvl w:val="0"/>
          <w:numId w:val="1014"/>
        </w:numPr>
      </w:pPr>
      <w:r>
        <w:rPr>
          <w:b/>
          <w:bCs/>
        </w:rPr>
        <w:t xml:space="preserve">What are current move-in rates, move-out rates, inquiry volumes, and pricing trends during the selling season?</w:t>
      </w:r>
    </w:p>
    <w:p>
      <w:pPr>
        <w:pStyle w:val="Compact"/>
        <w:numPr>
          <w:ilvl w:val="0"/>
          <w:numId w:val="1014"/>
        </w:numPr>
      </w:pPr>
      <w:r>
        <w:rPr>
          <w:b/>
          <w:bCs/>
        </w:rPr>
        <w:t xml:space="preserve">Is the 16% SHOP same-store NOI midpoint still conservative, or does management see room for upside?</w:t>
      </w:r>
    </w:p>
    <w:p>
      <w:pPr>
        <w:pStyle w:val="Compact"/>
        <w:numPr>
          <w:ilvl w:val="0"/>
          <w:numId w:val="1014"/>
        </w:numPr>
      </w:pPr>
      <w:r>
        <w:rPr>
          <w:b/>
          <w:bCs/>
        </w:rPr>
        <w:t xml:space="preserve">How is the Revel portfolio performing versus underwriting on occupancy, pricing, and operating expenses?</w:t>
      </w:r>
    </w:p>
    <w:p>
      <w:pPr>
        <w:pStyle w:val="Compact"/>
        <w:numPr>
          <w:ilvl w:val="0"/>
          <w:numId w:val="1014"/>
        </w:numPr>
      </w:pPr>
      <w:r>
        <w:rPr>
          <w:b/>
          <w:bCs/>
        </w:rPr>
        <w:t xml:space="preserve">What is the expected timing and scale of FFO contribution from 2026 acquisitions?</w:t>
      </w:r>
    </w:p>
    <w:p>
      <w:pPr>
        <w:pStyle w:val="Compact"/>
        <w:numPr>
          <w:ilvl w:val="0"/>
          <w:numId w:val="1014"/>
        </w:numPr>
      </w:pPr>
      <w:r>
        <w:rPr>
          <w:b/>
          <w:bCs/>
        </w:rPr>
        <w:t xml:space="preserve">How much of the 45-community Brookdale transition capex has been completed, and are 2027 NOI targets unchanged?</w:t>
      </w:r>
    </w:p>
    <w:p>
      <w:pPr>
        <w:pStyle w:val="Compact"/>
        <w:numPr>
          <w:ilvl w:val="0"/>
          <w:numId w:val="1014"/>
        </w:numPr>
      </w:pPr>
      <w:r>
        <w:rPr>
          <w:b/>
          <w:bCs/>
        </w:rPr>
        <w:t xml:space="preserve">How were the June 2026 exchangeable-note maturities addressed, and what was the net share-count impact?</w:t>
      </w:r>
    </w:p>
    <w:p>
      <w:pPr>
        <w:pStyle w:val="Compact"/>
        <w:numPr>
          <w:ilvl w:val="0"/>
          <w:numId w:val="1014"/>
        </w:numPr>
      </w:pPr>
      <w:r>
        <w:rPr>
          <w:b/>
          <w:bCs/>
        </w:rPr>
        <w:t xml:space="preserve">What is the expected weighted-average diluted share count for the second half after forward-equity settlements?</w:t>
      </w:r>
    </w:p>
    <w:p>
      <w:pPr>
        <w:pStyle w:val="Compact"/>
        <w:numPr>
          <w:ilvl w:val="0"/>
          <w:numId w:val="1014"/>
        </w:numPr>
      </w:pPr>
      <w:r>
        <w:rPr>
          <w:b/>
          <w:bCs/>
        </w:rPr>
        <w:t xml:space="preserve">Has increased investor interest in senior housing pressured acquisition cap rates or reduced Ventas’s expected IRRs?</w:t>
      </w:r>
    </w:p>
    <w:p>
      <w:pPr>
        <w:pStyle w:val="Compact"/>
        <w:numPr>
          <w:ilvl w:val="0"/>
          <w:numId w:val="1014"/>
        </w:numPr>
      </w:pPr>
      <w:r>
        <w:rPr>
          <w:b/>
          <w:bCs/>
        </w:rPr>
        <w:t xml:space="preserve">Does management still expect net debt-to-EBITDA to improve sequentially through year-end?</w:t>
      </w:r>
    </w:p>
    <w:p>
      <w:r>
        <w:pict>
          <v:rect style="width:0;height:1.5pt" o:hralign="center" o:hrstd="t" o:hr="t"/>
        </w:pict>
      </w:r>
    </w:p>
    <w:bookmarkEnd w:id="25"/>
    <w:bookmarkStart w:id="26" w:name="investment-framing-into-earnings"/>
    <w:p>
      <w:pPr>
        <w:pStyle w:val="Heading2"/>
      </w:pPr>
      <w:r>
        <w:t xml:space="preserve">Investment framing into earnings</w:t>
      </w:r>
    </w:p>
    <w:p>
      <w:pPr>
        <w:pStyle w:val="FirstParagraph"/>
      </w:pPr>
      <w:r>
        <w:t xml:space="preserve">Ventas remains one of the clearer public-market ways to gain exposure to the senior-housing demand recovery. Its combination of scaled SHOP exposure, improving occupancy, low new supply, and capacity for external growth gives it a compelling multi-year growth narrative.</w:t>
      </w:r>
    </w:p>
    <w:p>
      <w:pPr>
        <w:pStyle w:val="BodyText"/>
      </w:pPr>
      <w:r>
        <w:t xml:space="preserve">However,</w:t>
      </w:r>
      <w:r>
        <w:t xml:space="preserve"> </w:t>
      </w:r>
      <w:r>
        <w:rPr>
          <w:b/>
          <w:bCs/>
        </w:rPr>
        <w:t xml:space="preserve">the stock now requires continued evidence rather than simply a favorable story</w:t>
      </w:r>
      <w:r>
        <w:t xml:space="preserve">. The central earnings question is whether Ventas can convert demographic tailwinds, operating-platform claims, and substantial acquisition activity into durable</w:t>
      </w:r>
      <w:r>
        <w:t xml:space="preserve"> </w:t>
      </w:r>
      <w:r>
        <w:rPr>
          <w:b/>
          <w:bCs/>
        </w:rPr>
        <w:t xml:space="preserve">per-share</w:t>
      </w:r>
      <w:r>
        <w:t xml:space="preserve"> </w:t>
      </w:r>
      <w:r>
        <w:t xml:space="preserve">FFO growth while keeping leverage and dilution controlled.</w:t>
      </w:r>
    </w:p>
    <w:p>
      <w:pPr>
        <w:pStyle w:val="BodyText"/>
      </w:pPr>
      <w:r>
        <w:rPr>
          <w:b/>
          <w:bCs/>
        </w:rPr>
        <w:t xml:space="preserve">The report is therefore likely to be judged on the quality and durability of SHOP fundamentals—not merely on the quarterly FFO number.</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2026-07-29T02:15:56Z</dcterms:created>
  <dcterms:modified xsi:type="dcterms:W3CDTF">2026-07-29T02:15:56Z</dcterms:modified>
</cp:coreProperties>
</file>

<file path=docProps/custom.xml><?xml version="1.0" encoding="utf-8"?>
<Properties xmlns="http://schemas.openxmlformats.org/officeDocument/2006/custom-properties" xmlns:vt="http://schemas.openxmlformats.org/officeDocument/2006/docPropsVTypes"/>
</file>