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vtr-earnings-predictions--2026-07-29"/>
    <w:p>
      <w:pPr>
        <w:pStyle w:val="Heading1"/>
      </w:pPr>
      <w:r>
        <w:t xml:space="preserve">VTR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VTR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Normalized FFO/share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~$0.97 vs. cons $0.957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VTR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SHOP Same-Store NOI Growth YoY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~17.5-18% vs. cons 16.86%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VTR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SHOP Same-Store Occupancy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~91.2-91.4% vs. cons 90.91%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VTR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Normalized FFO/share (FY2026)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~$3.91 mid vs. cons $3.878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VTR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SHOP SS NOI Growth (FY2026)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~17% mid vs. cons 16.38%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VTR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VTR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+3.0% (STABILIZE)</w:t>
            </w:r>
          </w:p>
        </w:tc>
        <w:tc>
          <w:tcPr/>
          <w:p>
            <w:pPr>
              <w:pStyle w:val="Compact"/>
            </w:pPr>
            <w:r>
              <w:t xml:space="preserve">STABILIZE — beat + raise are real but sector extended post-WELL sell-off; follow-through muted vs. prior Archetype A quarters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2026-08-01T02:02:41Z</dcterms:created>
  <dcterms:modified xsi:type="dcterms:W3CDTF">2026-08-01T02:02:41Z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