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Ventas, Inc. (VTR)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Ventas, Inc.</w:t>
            </w:r>
          </w:p>
        </w:tc>
      </w:tr>
      <w:tr>
        <w:tc>
          <w:tcPr>
            <w:tcW w:type="dxa" w:w="4320"/>
          </w:tcPr>
          <w:p>
            <w:r>
              <w:rPr>
                <w:rFonts w:ascii="Calibri" w:hAnsi="Calibri"/>
                <w:b/>
                <w:sz w:val="22"/>
              </w:rPr>
              <w:t>Ticker</w:t>
            </w:r>
          </w:p>
        </w:tc>
        <w:tc>
          <w:tcPr>
            <w:tcW w:type="dxa" w:w="4320"/>
          </w:tcPr>
          <w:p>
            <w:r>
              <w:rPr>
                <w:rFonts w:ascii="Calibri" w:hAnsi="Calibri"/>
                <w:sz w:val="22"/>
              </w:rPr>
              <w:t>NYSE: VTR</w:t>
            </w:r>
          </w:p>
        </w:tc>
      </w:tr>
      <w:tr>
        <w:tc>
          <w:tcPr>
            <w:tcW w:type="dxa" w:w="4320"/>
          </w:tcPr>
          <w:p>
            <w:r>
              <w:rPr>
                <w:rFonts w:ascii="Calibri" w:hAnsi="Calibri"/>
                <w:b/>
                <w:sz w:val="22"/>
              </w:rPr>
              <w:t>Upcoming Earnings Date</w:t>
            </w:r>
          </w:p>
        </w:tc>
        <w:tc>
          <w:tcPr>
            <w:tcW w:type="dxa" w:w="4320"/>
          </w:tcPr>
          <w:p>
            <w:r>
              <w:rPr>
                <w:rFonts w:ascii="Calibri" w:hAnsi="Calibri"/>
                <w:sz w:val="22"/>
              </w:rPr>
              <w:t>July 30, 2026 (Q2 2026 Earnings Call, 10:00 AM ET)</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 Sub-Sector</w:t>
            </w:r>
          </w:p>
        </w:tc>
        <w:tc>
          <w:tcPr>
            <w:tcW w:type="dxa" w:w="4320"/>
          </w:tcPr>
          <w:p>
            <w:r>
              <w:rPr>
                <w:rFonts w:ascii="Calibri" w:hAnsi="Calibri"/>
                <w:sz w:val="22"/>
              </w:rPr>
              <w:t>Healthcare REIT / Senior Housing Operating Portfolio (SHOP)</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the bar is elevated — consensus expects another strong SHOP beat, and the wildcard is whether the key summer selling season (May–September) delivered the occupancy gains needed to sustain the raised 16% SHOP NOI growth guide.</w:t>
      </w:r>
    </w:p>
    <w:p>
      <w:r>
        <w:rPr>
          <w:rFonts w:ascii="Calibri" w:hAnsi="Calibri"/>
          <w:color w:val="525866"/>
          <w:sz w:val="22"/>
        </w:rPr>
        <w:t xml:space="preserve">Heading into Q2 2026, the bar for Ventas is high but achievable: management raised full-year SHOP same-store NOI growth guidance to 16% at the Q1 print and lifted total investment volume guidance to $3 billion, signaling peak confidence in the cycle. </w:t>
      </w:r>
      <w:r>
        <w:rPr>
          <w:rFonts w:ascii="Calibri" w:hAnsi="Calibri"/>
          <w:b/>
          <w:color w:val="525866"/>
          <w:sz w:val="22"/>
        </w:rPr>
        <w:t>Consensus Normalized FFO of ~$0.957/share implies ~9% YoY growth</w:t>
      </w:r>
      <w:r>
        <w:rPr>
          <w:rFonts w:ascii="Calibri" w:hAnsi="Calibri"/>
          <w:color w:val="525866"/>
          <w:sz w:val="22"/>
        </w:rPr>
        <w:t xml:space="preserve">, consistent with the trajectory management has delivered for five consecutive years of double-digit SHOP NOI growth. Estimate revisions have been modestly positive since the Q1 print — the as-of-May 4 baseline of $0.954 has ticked up to $0.957 — suggesting the Street is incrementally more constructive but has not aggressively front-run the print. The stock has been a standout performer, rising ~16% since the April 27 earnings date and ~47% over the trailing twelve months, with the majority of that move driven by </w:t>
      </w:r>
      <w:r>
        <w:rPr>
          <w:rFonts w:ascii="Calibri" w:hAnsi="Calibri"/>
          <w:b/>
          <w:color w:val="525866"/>
          <w:sz w:val="22"/>
        </w:rPr>
        <w:t>multiple expansion (EV/EBITDA from 18.9x to 22.4x)</w:t>
      </w:r>
      <w:r>
        <w:rPr>
          <w:rFonts w:ascii="Calibri" w:hAnsi="Calibri"/>
          <w:color w:val="525866"/>
          <w:sz w:val="22"/>
        </w:rPr>
        <w:t xml:space="preserve"> rather than estimate revisions alone, meaning the stock has priced in continued execution. The single biggest wildcard is </w:t>
      </w:r>
      <w:r>
        <w:rPr>
          <w:rFonts w:ascii="Calibri" w:hAnsi="Calibri"/>
          <w:b/>
          <w:color w:val="525866"/>
          <w:sz w:val="22"/>
        </w:rPr>
        <w:t>summer selling season occupancy momentum</w:t>
      </w:r>
      <w:r>
        <w:rPr>
          <w:rFonts w:ascii="Calibri" w:hAnsi="Calibri"/>
          <w:color w:val="525866"/>
          <w:sz w:val="22"/>
        </w:rPr>
        <w:t>: management explicitly flagged that Q1's strong start raised the full-year occupancy guide from 270 to 300 bps, but noted that "our success during the key selling season will determine the full year outcome." Any evidence of occupancy deceleration — or, conversely, an acceleration above the 300 bps guide — will be the primary stock driver on print day. The Welltower Q2 2026 print (reported July 27) delivered 330 bps of YoY occupancy growth and raised SHOP NOI guidance to 18.5–21.5%, providing a strong positive read-through for VTR.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but achievable bar — SHOP same-store NOI growth of ~16.9% YoY is the primary swing factor, while Normalized FFO/share of $0.957 reflects continued double-digit earnings growth. SHOP occupancy is the leading indicator to watch.</w:t>
      </w:r>
    </w:p>
    <w:p>
      <w:pPr>
        <w:pStyle w:val="Heading3"/>
      </w:pPr>
      <w:r>
        <w:rPr>
          <w:rFonts w:ascii="Calibri" w:hAnsi="Calibri"/>
          <w:b/>
          <w:color w:val="3B4259"/>
          <w:sz w:val="24"/>
        </w:rPr>
        <w:t>Table 1 — Current Quarter Snapshot (Q2 2026,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Normalized FFO per Share — Diluted ($)</w:t>
            </w:r>
          </w:p>
        </w:tc>
        <w:tc>
          <w:tcPr>
            <w:tcW w:type="dxa" w:w="1234"/>
          </w:tcPr>
          <w:p>
            <w:r>
              <w:rPr>
                <w:rFonts w:ascii="Calibri" w:hAnsi="Calibri"/>
                <w:sz w:val="22"/>
              </w:rPr>
              <w:t>$0.940</w:t>
            </w:r>
          </w:p>
        </w:tc>
        <w:tc>
          <w:tcPr>
            <w:tcW w:type="dxa" w:w="1234"/>
          </w:tcPr>
          <w:p>
            <w:r>
              <w:rPr>
                <w:rFonts w:ascii="Calibri" w:hAnsi="Calibri"/>
                <w:sz w:val="22"/>
              </w:rPr>
              <w:t>$0.891</w:t>
            </w:r>
          </w:p>
        </w:tc>
        <w:tc>
          <w:tcPr>
            <w:tcW w:type="dxa" w:w="1234"/>
          </w:tcPr>
          <w:p>
            <w:r>
              <w:rPr>
                <w:rFonts w:ascii="Calibri" w:hAnsi="Calibri"/>
                <w:sz w:val="22"/>
              </w:rPr>
              <w:t>$0.957</w:t>
            </w:r>
          </w:p>
        </w:tc>
        <w:tc>
          <w:tcPr>
            <w:tcW w:type="dxa" w:w="1234"/>
          </w:tcPr>
          <w:p>
            <w:r>
              <w:rPr>
                <w:rFonts w:ascii="Calibri" w:hAnsi="Calibri"/>
                <w:sz w:val="22"/>
              </w:rPr>
              <w:t>+7.4% YoY</w:t>
            </w:r>
          </w:p>
        </w:tc>
        <w:tc>
          <w:tcPr>
            <w:tcW w:type="dxa" w:w="1234"/>
          </w:tcPr>
          <w:p>
            <w:r>
              <w:rPr>
                <w:rFonts w:ascii="Calibri" w:hAnsi="Calibri"/>
                <w:sz w:val="22"/>
              </w:rPr>
              <w:t>$3.82–$3.89 (mid: $3.855)</w:t>
            </w:r>
          </w:p>
        </w:tc>
        <w:tc>
          <w:tcPr>
            <w:tcW w:type="dxa" w:w="1234"/>
          </w:tcPr>
          <w:p>
            <w:r>
              <w:rPr>
                <w:rFonts w:ascii="Calibri" w:hAnsi="Calibri"/>
                <w:sz w:val="22"/>
              </w:rPr>
              <w:t>FY consensus $3.878 vs. mid $3.855; +0.6% above mid</w:t>
            </w:r>
          </w:p>
        </w:tc>
      </w:tr>
      <w:tr>
        <w:tc>
          <w:tcPr>
            <w:tcW w:type="dxa" w:w="1234"/>
          </w:tcPr>
          <w:p>
            <w:r>
              <w:rPr>
                <w:rFonts w:ascii="Calibri" w:hAnsi="Calibri"/>
                <w:sz w:val="22"/>
              </w:rPr>
              <w:t>SHOP Same-Store NOI Growth YoY (%)</w:t>
            </w:r>
          </w:p>
        </w:tc>
        <w:tc>
          <w:tcPr>
            <w:tcW w:type="dxa" w:w="1234"/>
          </w:tcPr>
          <w:p>
            <w:r>
              <w:rPr>
                <w:rFonts w:ascii="Calibri" w:hAnsi="Calibri"/>
                <w:sz w:val="22"/>
              </w:rPr>
              <w:t>+15.4%</w:t>
            </w:r>
          </w:p>
        </w:tc>
        <w:tc>
          <w:tcPr>
            <w:tcW w:type="dxa" w:w="1234"/>
          </w:tcPr>
          <w:p>
            <w:r>
              <w:rPr>
                <w:rFonts w:ascii="Calibri" w:hAnsi="Calibri"/>
                <w:sz w:val="22"/>
              </w:rPr>
              <w:t>+13.3%</w:t>
            </w:r>
          </w:p>
        </w:tc>
        <w:tc>
          <w:tcPr>
            <w:tcW w:type="dxa" w:w="1234"/>
          </w:tcPr>
          <w:p>
            <w:r>
              <w:rPr>
                <w:rFonts w:ascii="Calibri" w:hAnsi="Calibri"/>
                <w:sz w:val="22"/>
              </w:rPr>
              <w:t>~+16.9%</w:t>
            </w:r>
          </w:p>
        </w:tc>
        <w:tc>
          <w:tcPr>
            <w:tcW w:type="dxa" w:w="1234"/>
          </w:tcPr>
          <w:p>
            <w:r>
              <w:rPr>
                <w:rFonts w:ascii="Calibri" w:hAnsi="Calibri"/>
                <w:sz w:val="22"/>
              </w:rPr>
              <w:t>+360 bps vs. Q2 2025</w:t>
            </w:r>
          </w:p>
        </w:tc>
        <w:tc>
          <w:tcPr>
            <w:tcW w:type="dxa" w:w="1234"/>
          </w:tcPr>
          <w:p>
            <w:r>
              <w:rPr>
                <w:rFonts w:ascii="Calibri" w:hAnsi="Calibri"/>
                <w:sz w:val="22"/>
              </w:rPr>
              <w:t>16% at midpoint (raised from 15%)</w:t>
            </w:r>
          </w:p>
        </w:tc>
        <w:tc>
          <w:tcPr>
            <w:tcW w:type="dxa" w:w="1234"/>
          </w:tcPr>
          <w:p>
            <w:r>
              <w:rPr>
                <w:rFonts w:ascii="Calibri" w:hAnsi="Calibri"/>
                <w:sz w:val="22"/>
              </w:rPr>
              <w:t>Consensus ~+90 bps above guidance mid</w:t>
            </w:r>
          </w:p>
        </w:tc>
      </w:tr>
      <w:tr>
        <w:tc>
          <w:tcPr>
            <w:tcW w:type="dxa" w:w="1234"/>
          </w:tcPr>
          <w:p>
            <w:r>
              <w:rPr>
                <w:rFonts w:ascii="Calibri" w:hAnsi="Calibri"/>
                <w:sz w:val="22"/>
              </w:rPr>
              <w:t>SHOP Same-Store Occupancy (%)</w:t>
            </w:r>
          </w:p>
        </w:tc>
        <w:tc>
          <w:tcPr>
            <w:tcW w:type="dxa" w:w="1234"/>
          </w:tcPr>
          <w:p>
            <w:r>
              <w:rPr>
                <w:rFonts w:ascii="Calibri" w:hAnsi="Calibri"/>
                <w:sz w:val="22"/>
              </w:rPr>
              <w:t>90.4%</w:t>
            </w:r>
          </w:p>
        </w:tc>
        <w:tc>
          <w:tcPr>
            <w:tcW w:type="dxa" w:w="1234"/>
          </w:tcPr>
          <w:p>
            <w:r>
              <w:rPr>
                <w:rFonts w:ascii="Calibri" w:hAnsi="Calibri"/>
                <w:sz w:val="22"/>
              </w:rPr>
              <w:t>87.7%</w:t>
            </w:r>
          </w:p>
        </w:tc>
        <w:tc>
          <w:tcPr>
            <w:tcW w:type="dxa" w:w="1234"/>
          </w:tcPr>
          <w:p>
            <w:r>
              <w:rPr>
                <w:rFonts w:ascii="Calibri" w:hAnsi="Calibri"/>
                <w:sz w:val="22"/>
              </w:rPr>
              <w:t>~90.9%</w:t>
            </w:r>
          </w:p>
        </w:tc>
        <w:tc>
          <w:tcPr>
            <w:tcW w:type="dxa" w:w="1234"/>
          </w:tcPr>
          <w:p>
            <w:r>
              <w:rPr>
                <w:rFonts w:ascii="Calibri" w:hAnsi="Calibri"/>
                <w:sz w:val="22"/>
              </w:rPr>
              <w:t>+320 bps YoY</w:t>
            </w:r>
          </w:p>
        </w:tc>
        <w:tc>
          <w:tcPr>
            <w:tcW w:type="dxa" w:w="1234"/>
          </w:tcPr>
          <w:p>
            <w:r>
              <w:rPr>
                <w:rFonts w:ascii="Calibri" w:hAnsi="Calibri"/>
                <w:sz w:val="22"/>
              </w:rPr>
              <w:t>~300 bps full-year growth (raised from 270 bps)</w:t>
            </w:r>
          </w:p>
        </w:tc>
        <w:tc>
          <w:tcPr>
            <w:tcW w:type="dxa" w:w="1234"/>
          </w:tcPr>
          <w:p>
            <w:r>
              <w:rPr>
                <w:rFonts w:ascii="Calibri" w:hAnsi="Calibri"/>
                <w:sz w:val="22"/>
              </w:rPr>
              <w:t>Tracking above guidance pace</w:t>
            </w:r>
          </w:p>
        </w:tc>
      </w:tr>
      <w:tr>
        <w:tc>
          <w:tcPr>
            <w:tcW w:type="dxa" w:w="1234"/>
          </w:tcPr>
          <w:p>
            <w:r>
              <w:rPr>
                <w:rFonts w:ascii="Calibri" w:hAnsi="Calibri"/>
                <w:sz w:val="22"/>
              </w:rPr>
              <w:t>Avg. Monthly Revenue per Occupied Unit — RevPOR ($)</w:t>
            </w:r>
          </w:p>
        </w:tc>
        <w:tc>
          <w:tcPr>
            <w:tcW w:type="dxa" w:w="1234"/>
          </w:tcPr>
          <w:p>
            <w:r>
              <w:rPr>
                <w:rFonts w:ascii="Calibri" w:hAnsi="Calibri"/>
                <w:sz w:val="22"/>
              </w:rPr>
              <w:t>$5,577</w:t>
            </w:r>
          </w:p>
        </w:tc>
        <w:tc>
          <w:tcPr>
            <w:tcW w:type="dxa" w:w="1234"/>
          </w:tcPr>
          <w:p>
            <w:r>
              <w:rPr>
                <w:rFonts w:ascii="Calibri" w:hAnsi="Calibri"/>
                <w:sz w:val="22"/>
              </w:rPr>
              <w:t>$5,238</w:t>
            </w:r>
          </w:p>
        </w:tc>
        <w:tc>
          <w:tcPr>
            <w:tcW w:type="dxa" w:w="1234"/>
          </w:tcPr>
          <w:p>
            <w:r>
              <w:rPr>
                <w:rFonts w:ascii="Calibri" w:hAnsi="Calibri"/>
                <w:sz w:val="22"/>
              </w:rPr>
              <w:t>~$5,562</w:t>
            </w:r>
          </w:p>
        </w:tc>
        <w:tc>
          <w:tcPr>
            <w:tcW w:type="dxa" w:w="1234"/>
          </w:tcPr>
          <w:p>
            <w:r>
              <w:rPr>
                <w:rFonts w:ascii="Calibri" w:hAnsi="Calibri"/>
                <w:sz w:val="22"/>
              </w:rPr>
              <w:t>+6.2% YoY</w:t>
            </w:r>
          </w:p>
        </w:tc>
        <w:tc>
          <w:tcPr>
            <w:tcW w:type="dxa" w:w="1234"/>
          </w:tcPr>
          <w:p>
            <w:r>
              <w:rPr>
                <w:rFonts w:ascii="Calibri" w:hAnsi="Calibri"/>
                <w:sz w:val="22"/>
              </w:rPr>
              <w:t>~8.75% revenue growth (FY guide)</w:t>
            </w:r>
          </w:p>
        </w:tc>
        <w:tc>
          <w:tcPr>
            <w:tcW w:type="dxa" w:w="1234"/>
          </w:tcPr>
          <w:p>
            <w:r>
              <w:rPr>
                <w:rFonts w:ascii="Calibri" w:hAnsi="Calibri"/>
                <w:sz w:val="22"/>
              </w:rPr>
              <w:t>Consensus slightly below FY revenue guide pace</w:t>
            </w:r>
          </w:p>
        </w:tc>
      </w:tr>
      <w:tr>
        <w:tc>
          <w:tcPr>
            <w:tcW w:type="dxa" w:w="1234"/>
          </w:tcPr>
          <w:p>
            <w:r>
              <w:rPr>
                <w:rFonts w:ascii="Calibri" w:hAnsi="Calibri"/>
                <w:sz w:val="22"/>
              </w:rPr>
              <w:t>Acquisition Volume ($M)</w:t>
            </w:r>
          </w:p>
        </w:tc>
        <w:tc>
          <w:tcPr>
            <w:tcW w:type="dxa" w:w="1234"/>
          </w:tcPr>
          <w:p>
            <w:r>
              <w:rPr>
                <w:rFonts w:ascii="Calibri" w:hAnsi="Calibri"/>
                <w:sz w:val="22"/>
              </w:rPr>
              <w:t>$996M</w:t>
            </w:r>
          </w:p>
        </w:tc>
        <w:tc>
          <w:tcPr>
            <w:tcW w:type="dxa" w:w="1234"/>
          </w:tcPr>
          <w:p>
            <w:r>
              <w:rPr>
                <w:rFonts w:ascii="Calibri" w:hAnsi="Calibri"/>
                <w:sz w:val="22"/>
              </w:rPr>
              <w:t>$213M</w:t>
            </w:r>
          </w:p>
        </w:tc>
        <w:tc>
          <w:tcPr>
            <w:tcW w:type="dxa" w:w="1234"/>
          </w:tcPr>
          <w:p>
            <w:r>
              <w:rPr>
                <w:rFonts w:ascii="Calibri" w:hAnsi="Calibri"/>
                <w:sz w:val="22"/>
              </w:rPr>
              <w:t>~$680M</w:t>
            </w:r>
          </w:p>
        </w:tc>
        <w:tc>
          <w:tcPr>
            <w:tcW w:type="dxa" w:w="1234"/>
          </w:tcPr>
          <w:p>
            <w:r>
              <w:rPr>
                <w:rFonts w:ascii="Calibri" w:hAnsi="Calibri"/>
                <w:sz w:val="22"/>
              </w:rPr>
              <w:t>N/M (lumpy)</w:t>
            </w:r>
          </w:p>
        </w:tc>
        <w:tc>
          <w:tcPr>
            <w:tcW w:type="dxa" w:w="1234"/>
          </w:tcPr>
          <w:p>
            <w:r>
              <w:rPr>
                <w:rFonts w:ascii="Calibri" w:hAnsi="Calibri"/>
                <w:sz w:val="22"/>
              </w:rPr>
              <w:t>$3.0B FY 2026 (raised from $2.5B)</w:t>
            </w:r>
          </w:p>
        </w:tc>
        <w:tc>
          <w:tcPr>
            <w:tcW w:type="dxa" w:w="1234"/>
          </w:tcPr>
          <w:p>
            <w:r>
              <w:rPr>
                <w:rFonts w:ascii="Calibri" w:hAnsi="Calibri"/>
                <w:sz w:val="22"/>
              </w:rPr>
              <w:t>FY consensus $2.95B vs. $3.0B guide; ~−1.7% below mid</w:t>
            </w:r>
          </w:p>
        </w:tc>
      </w:tr>
    </w:tbl>
    <w:p>
      <w:r>
        <w:rPr>
          <w:rFonts w:ascii="Calibri" w:hAnsi="Calibri"/>
          <w:color w:val="525866"/>
          <w:sz w:val="22"/>
        </w:rPr>
        <w:t>Source: Visible Alpha Consensus and Actuals Data. All consensus figures as of July 28, 2026. Guidance from Q1 2026 earnings call (April 28,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Normalized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$0.940</w:t>
            </w:r>
          </w:p>
        </w:tc>
        <w:tc>
          <w:tcPr>
            <w:tcW w:type="dxa" w:w="1728"/>
          </w:tcPr>
          <w:p>
            <w:r>
              <w:rPr>
                <w:rFonts w:ascii="Calibri" w:hAnsi="Calibri"/>
                <w:sz w:val="22"/>
              </w:rPr>
              <w:t>$0.903</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$0.890</w:t>
            </w:r>
          </w:p>
        </w:tc>
        <w:tc>
          <w:tcPr>
            <w:tcW w:type="dxa" w:w="1728"/>
          </w:tcPr>
          <w:p>
            <w:r>
              <w:rPr>
                <w:rFonts w:ascii="Calibri" w:hAnsi="Calibri"/>
                <w:sz w:val="22"/>
              </w:rPr>
              <w:t>$0.885</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$0.895</w:t>
            </w:r>
          </w:p>
        </w:tc>
        <w:tc>
          <w:tcPr>
            <w:tcW w:type="dxa" w:w="1728"/>
          </w:tcPr>
          <w:p>
            <w:r>
              <w:rPr>
                <w:rFonts w:ascii="Calibri" w:hAnsi="Calibri"/>
                <w:sz w:val="22"/>
              </w:rPr>
              <w:t>$0.868</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$0.891</w:t>
            </w:r>
          </w:p>
        </w:tc>
        <w:tc>
          <w:tcPr>
            <w:tcW w:type="dxa" w:w="1728"/>
          </w:tcPr>
          <w:p>
            <w:r>
              <w:rPr>
                <w:rFonts w:ascii="Calibri" w:hAnsi="Calibri"/>
                <w:sz w:val="22"/>
              </w:rPr>
              <w:t>$0.857</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$0.865</w:t>
            </w:r>
          </w:p>
        </w:tc>
        <w:tc>
          <w:tcPr>
            <w:tcW w:type="dxa" w:w="1728"/>
          </w:tcPr>
          <w:p>
            <w:r>
              <w:rPr>
                <w:rFonts w:ascii="Calibri" w:hAnsi="Calibri"/>
                <w:sz w:val="22"/>
              </w:rPr>
              <w:t>$0.822</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$0.829</w:t>
            </w:r>
          </w:p>
        </w:tc>
        <w:tc>
          <w:tcPr>
            <w:tcW w:type="dxa" w:w="1728"/>
          </w:tcPr>
          <w:p>
            <w:r>
              <w:rPr>
                <w:rFonts w:ascii="Calibri" w:hAnsi="Calibri"/>
                <w:sz w:val="22"/>
              </w:rPr>
              <w:t>$0.806</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$0.814</w:t>
            </w:r>
          </w:p>
        </w:tc>
        <w:tc>
          <w:tcPr>
            <w:tcW w:type="dxa" w:w="1728"/>
          </w:tcPr>
          <w:p>
            <w:r>
              <w:rPr>
                <w:rFonts w:ascii="Calibri" w:hAnsi="Calibri"/>
                <w:sz w:val="22"/>
              </w:rPr>
              <w:t>$0.796</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$0.891</w:t>
            </w:r>
          </w:p>
        </w:tc>
        <w:tc>
          <w:tcPr>
            <w:tcW w:type="dxa" w:w="1728"/>
          </w:tcPr>
          <w:p>
            <w:r>
              <w:rPr>
                <w:rFonts w:ascii="Calibri" w:hAnsi="Calibri"/>
                <w:sz w:val="22"/>
              </w:rPr>
              <w:t>$0.857</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bl>
    <w:p>
      <w:pPr>
        <w:pStyle w:val="Heading4"/>
      </w:pPr>
      <w:r>
        <w:rPr>
          <w:rFonts w:ascii="Calibri" w:hAnsi="Calibri"/>
          <w:b/>
          <w:color w:val="3B4259"/>
          <w:sz w:val="22"/>
        </w:rPr>
        <w:t>SHOP Same-Store NOI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+15.4%</w:t>
            </w:r>
          </w:p>
        </w:tc>
        <w:tc>
          <w:tcPr>
            <w:tcW w:type="dxa" w:w="1728"/>
          </w:tcPr>
          <w:p>
            <w:r>
              <w:rPr>
                <w:rFonts w:ascii="Calibri" w:hAnsi="Calibri"/>
                <w:sz w:val="22"/>
              </w:rPr>
              <w:t>+14.3%</w:t>
            </w:r>
          </w:p>
        </w:tc>
        <w:tc>
          <w:tcPr>
            <w:tcW w:type="dxa" w:w="1728"/>
          </w:tcPr>
          <w:p>
            <w:r>
              <w:rPr>
                <w:rFonts w:ascii="Calibri" w:hAnsi="Calibri"/>
                <w:b/>
                <w:color w:val="30A46C"/>
                <w:sz w:val="22"/>
              </w:rPr>
              <w:t>+110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+15.4%</w:t>
            </w:r>
          </w:p>
        </w:tc>
        <w:tc>
          <w:tcPr>
            <w:tcW w:type="dxa" w:w="1728"/>
          </w:tcPr>
          <w:p>
            <w:r>
              <w:rPr>
                <w:rFonts w:ascii="Calibri" w:hAnsi="Calibri"/>
                <w:sz w:val="22"/>
              </w:rPr>
              <w:t>+16.6%</w:t>
            </w:r>
          </w:p>
        </w:tc>
        <w:tc>
          <w:tcPr>
            <w:tcW w:type="dxa" w:w="1728"/>
          </w:tcPr>
          <w:p>
            <w:r>
              <w:rPr>
                <w:rFonts w:ascii="Calibri" w:hAnsi="Calibri"/>
                <w:b/>
                <w:color w:val="E5484D"/>
                <w:sz w:val="22"/>
              </w:rPr>
              <w:t>−120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+15.9%</w:t>
            </w:r>
          </w:p>
        </w:tc>
        <w:tc>
          <w:tcPr>
            <w:tcW w:type="dxa" w:w="1728"/>
          </w:tcPr>
          <w:p>
            <w:r>
              <w:rPr>
                <w:rFonts w:ascii="Calibri" w:hAnsi="Calibri"/>
                <w:sz w:val="22"/>
              </w:rPr>
              <w:t>+17.2%</w:t>
            </w:r>
          </w:p>
        </w:tc>
        <w:tc>
          <w:tcPr>
            <w:tcW w:type="dxa" w:w="1728"/>
          </w:tcPr>
          <w:p>
            <w:r>
              <w:rPr>
                <w:rFonts w:ascii="Calibri" w:hAnsi="Calibri"/>
                <w:b/>
                <w:color w:val="E5484D"/>
                <w:sz w:val="22"/>
              </w:rPr>
              <w:t>−130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+13.3%</w:t>
            </w:r>
          </w:p>
        </w:tc>
        <w:tc>
          <w:tcPr>
            <w:tcW w:type="dxa" w:w="1728"/>
          </w:tcPr>
          <w:p>
            <w:r>
              <w:rPr>
                <w:rFonts w:ascii="Calibri" w:hAnsi="Calibri"/>
                <w:sz w:val="22"/>
              </w:rPr>
              <w:t>+12.5%</w:t>
            </w:r>
          </w:p>
        </w:tc>
        <w:tc>
          <w:tcPr>
            <w:tcW w:type="dxa" w:w="1728"/>
          </w:tcPr>
          <w:p>
            <w:r>
              <w:rPr>
                <w:rFonts w:ascii="Calibri" w:hAnsi="Calibri"/>
                <w:b/>
                <w:color w:val="30A46C"/>
                <w:sz w:val="22"/>
              </w:rPr>
              <w:t>+80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+13.6%</w:t>
            </w:r>
          </w:p>
        </w:tc>
        <w:tc>
          <w:tcPr>
            <w:tcW w:type="dxa" w:w="1728"/>
          </w:tcPr>
          <w:p>
            <w:r>
              <w:rPr>
                <w:rFonts w:ascii="Calibri" w:hAnsi="Calibri"/>
                <w:sz w:val="22"/>
              </w:rPr>
              <w:t>+13.9%</w:t>
            </w:r>
          </w:p>
        </w:tc>
        <w:tc>
          <w:tcPr>
            <w:tcW w:type="dxa" w:w="1728"/>
          </w:tcPr>
          <w:p>
            <w:r>
              <w:rPr>
                <w:rFonts w:ascii="Calibri" w:hAnsi="Calibri"/>
                <w:b/>
                <w:color w:val="E5484D"/>
                <w:sz w:val="22"/>
              </w:rPr>
              <w:t>−30 bps</w:t>
            </w:r>
          </w:p>
        </w:tc>
        <w:tc>
          <w:tcPr>
            <w:tcW w:type="dxa" w:w="1728"/>
          </w:tcPr>
          <w:p>
            <w:r>
              <w:rPr>
                <w:rFonts w:ascii="Calibri" w:hAnsi="Calibri"/>
                <w:b/>
                <w:color w:val="E5484D"/>
                <w:sz w:val="22"/>
              </w:rPr>
              <w:t>Slight Miss</w:t>
            </w:r>
          </w:p>
        </w:tc>
      </w:tr>
      <w:tr>
        <w:tc>
          <w:tcPr>
            <w:tcW w:type="dxa" w:w="1728"/>
          </w:tcPr>
          <w:p>
            <w:r>
              <w:rPr>
                <w:rFonts w:ascii="Calibri" w:hAnsi="Calibri"/>
                <w:sz w:val="22"/>
              </w:rPr>
              <w:t>Q4 2024</w:t>
            </w:r>
          </w:p>
        </w:tc>
        <w:tc>
          <w:tcPr>
            <w:tcW w:type="dxa" w:w="1728"/>
          </w:tcPr>
          <w:p>
            <w:r>
              <w:rPr>
                <w:rFonts w:ascii="Calibri" w:hAnsi="Calibri"/>
                <w:sz w:val="22"/>
              </w:rPr>
              <w:t>+16.9%</w:t>
            </w:r>
          </w:p>
        </w:tc>
        <w:tc>
          <w:tcPr>
            <w:tcW w:type="dxa" w:w="1728"/>
          </w:tcPr>
          <w:p>
            <w:r>
              <w:rPr>
                <w:rFonts w:ascii="Calibri" w:hAnsi="Calibri"/>
                <w:sz w:val="22"/>
              </w:rPr>
              <w:t>+16.0%</w:t>
            </w:r>
          </w:p>
        </w:tc>
        <w:tc>
          <w:tcPr>
            <w:tcW w:type="dxa" w:w="1728"/>
          </w:tcPr>
          <w:p>
            <w:r>
              <w:rPr>
                <w:rFonts w:ascii="Calibri" w:hAnsi="Calibri"/>
                <w:b/>
                <w:color w:val="30A46C"/>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+15.3%</w:t>
            </w:r>
          </w:p>
        </w:tc>
        <w:tc>
          <w:tcPr>
            <w:tcW w:type="dxa" w:w="1728"/>
          </w:tcPr>
          <w:p>
            <w:r>
              <w:rPr>
                <w:rFonts w:ascii="Calibri" w:hAnsi="Calibri"/>
                <w:sz w:val="22"/>
              </w:rPr>
              <w:t>+17.4%</w:t>
            </w:r>
          </w:p>
        </w:tc>
        <w:tc>
          <w:tcPr>
            <w:tcW w:type="dxa" w:w="1728"/>
          </w:tcPr>
          <w:p>
            <w:r>
              <w:rPr>
                <w:rFonts w:ascii="Calibri" w:hAnsi="Calibri"/>
                <w:b/>
                <w:color w:val="E5484D"/>
                <w:sz w:val="22"/>
              </w:rPr>
              <w:t>−210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+13.3%</w:t>
            </w:r>
          </w:p>
        </w:tc>
        <w:tc>
          <w:tcPr>
            <w:tcW w:type="dxa" w:w="1728"/>
          </w:tcPr>
          <w:p>
            <w:r>
              <w:rPr>
                <w:rFonts w:ascii="Calibri" w:hAnsi="Calibri"/>
                <w:sz w:val="22"/>
              </w:rPr>
              <w:t>+12.5%</w:t>
            </w:r>
          </w:p>
        </w:tc>
        <w:tc>
          <w:tcPr>
            <w:tcW w:type="dxa" w:w="1728"/>
          </w:tcPr>
          <w:p>
            <w:r>
              <w:rPr>
                <w:rFonts w:ascii="Calibri" w:hAnsi="Calibri"/>
                <w:b/>
                <w:color w:val="30A46C"/>
                <w:sz w:val="22"/>
              </w:rPr>
              <w:t>+80 bps</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VTR has beaten Normalized FFO consensus in all 8 of the last 8 quarters, with an average surprise of +3.3%. SHOP NOI growth has been more mixed vs. elevated consensus expectations, with 4 beats and 4 misses over the same period — reflecting the Street's tendency to set an aggressive bar on this metric.</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across all key metrics since the Q4 2025 print, and tone remains highly confident. The only post-Q1 corporate action was the May 15 ATM expansion to $3B — a capital-raising signal consistent with the accelerated $3B investment target, not a guidance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Normalized FFO/Share (FY 2026)</w:t>
            </w:r>
          </w:p>
        </w:tc>
        <w:tc>
          <w:tcPr>
            <w:tcW w:type="dxa" w:w="1728"/>
          </w:tcPr>
          <w:p>
            <w:r>
              <w:rPr>
                <w:rFonts w:ascii="Calibri" w:hAnsi="Calibri"/>
                <w:sz w:val="22"/>
              </w:rPr>
              <w:t>$3.82–$3.89 (mid: $3.855)</w:t>
            </w:r>
          </w:p>
        </w:tc>
        <w:tc>
          <w:tcPr>
            <w:tcW w:type="dxa" w:w="1728"/>
          </w:tcPr>
          <w:p>
            <w:r>
              <w:rPr>
                <w:rFonts w:ascii="Calibri" w:hAnsi="Calibri"/>
                <w:sz w:val="22"/>
              </w:rPr>
              <w:t>—</w:t>
            </w:r>
          </w:p>
        </w:tc>
        <w:tc>
          <w:tcPr>
            <w:tcW w:type="dxa" w:w="1728"/>
          </w:tcPr>
          <w:p>
            <w:r>
              <w:rPr>
                <w:rFonts w:ascii="Calibri" w:hAnsi="Calibri"/>
                <w:sz w:val="22"/>
              </w:rPr>
              <w:t>$3.878</w:t>
            </w:r>
          </w:p>
        </w:tc>
        <w:tc>
          <w:tcPr>
            <w:tcW w:type="dxa" w:w="1728"/>
          </w:tcPr>
          <w:p>
            <w:r>
              <w:rPr>
                <w:rFonts w:ascii="Calibri" w:hAnsi="Calibri"/>
                <w:sz w:val="22"/>
              </w:rPr>
              <w:t>Raised $0.03 at Q1 print vs. prior $3.79–$3.86; no post-Q1 change. Consensus sits $0.023 above midpoint.</w:t>
            </w:r>
          </w:p>
        </w:tc>
      </w:tr>
      <w:tr>
        <w:tc>
          <w:tcPr>
            <w:tcW w:type="dxa" w:w="1728"/>
          </w:tcPr>
          <w:p>
            <w:r>
              <w:rPr>
                <w:rFonts w:ascii="Calibri" w:hAnsi="Calibri"/>
                <w:sz w:val="22"/>
              </w:rPr>
              <w:t>SHOP Same-Store NOI Growth (FY 2026)</w:t>
            </w:r>
          </w:p>
        </w:tc>
        <w:tc>
          <w:tcPr>
            <w:tcW w:type="dxa" w:w="1728"/>
          </w:tcPr>
          <w:p>
            <w:r>
              <w:rPr>
                <w:rFonts w:ascii="Calibri" w:hAnsi="Calibri"/>
                <w:sz w:val="22"/>
              </w:rPr>
              <w:t>~16% at midpoint (raised from 15%)</w:t>
            </w:r>
          </w:p>
        </w:tc>
        <w:tc>
          <w:tcPr>
            <w:tcW w:type="dxa" w:w="1728"/>
          </w:tcPr>
          <w:p>
            <w:r>
              <w:rPr>
                <w:rFonts w:ascii="Calibri" w:hAnsi="Calibri"/>
                <w:sz w:val="22"/>
              </w:rPr>
              <w:t>—</w:t>
            </w:r>
          </w:p>
        </w:tc>
        <w:tc>
          <w:tcPr>
            <w:tcW w:type="dxa" w:w="1728"/>
          </w:tcPr>
          <w:p>
            <w:r>
              <w:rPr>
                <w:rFonts w:ascii="Calibri" w:hAnsi="Calibri"/>
                <w:sz w:val="22"/>
              </w:rPr>
              <w:t>~16.4%</w:t>
            </w:r>
          </w:p>
        </w:tc>
        <w:tc>
          <w:tcPr>
            <w:tcW w:type="dxa" w:w="1728"/>
          </w:tcPr>
          <w:p>
            <w:r>
              <w:rPr>
                <w:rFonts w:ascii="Calibri" w:hAnsi="Calibri"/>
                <w:sz w:val="22"/>
              </w:rPr>
              <w:t>↑ Raised at Q1 2026 earnings (Apr 28); driven by higher occupancy growth expectation. Consensus slightly above midpoint.</w:t>
            </w:r>
          </w:p>
        </w:tc>
      </w:tr>
      <w:tr>
        <w:tc>
          <w:tcPr>
            <w:tcW w:type="dxa" w:w="1728"/>
          </w:tcPr>
          <w:p>
            <w:r>
              <w:rPr>
                <w:rFonts w:ascii="Calibri" w:hAnsi="Calibri"/>
                <w:sz w:val="22"/>
              </w:rPr>
              <w:t>Total Company Same-Store NOI Growth (FY 2026)</w:t>
            </w:r>
          </w:p>
        </w:tc>
        <w:tc>
          <w:tcPr>
            <w:tcW w:type="dxa" w:w="1728"/>
          </w:tcPr>
          <w:p>
            <w:r>
              <w:rPr>
                <w:rFonts w:ascii="Calibri" w:hAnsi="Calibri"/>
                <w:sz w:val="22"/>
              </w:rPr>
              <w:t>~10% at midpoint (raised from prior)</w:t>
            </w:r>
          </w:p>
        </w:tc>
        <w:tc>
          <w:tcPr>
            <w:tcW w:type="dxa" w:w="1728"/>
          </w:tcPr>
          <w:p>
            <w:r>
              <w:rPr>
                <w:rFonts w:ascii="Calibri" w:hAnsi="Calibri"/>
                <w:sz w:val="22"/>
              </w:rPr>
              <w:t>—</w:t>
            </w:r>
          </w:p>
        </w:tc>
        <w:tc>
          <w:tcPr>
            <w:tcW w:type="dxa" w:w="1728"/>
          </w:tcPr>
          <w:p>
            <w:r>
              <w:rPr>
                <w:rFonts w:ascii="Calibri" w:hAnsi="Calibri"/>
                <w:sz w:val="22"/>
              </w:rPr>
              <w:t>~10%</w:t>
            </w:r>
          </w:p>
        </w:tc>
        <w:tc>
          <w:tcPr>
            <w:tcW w:type="dxa" w:w="1728"/>
          </w:tcPr>
          <w:p>
            <w:r>
              <w:rPr>
                <w:rFonts w:ascii="Calibri" w:hAnsi="Calibri"/>
                <w:sz w:val="22"/>
              </w:rPr>
              <w:t>↑ Raised at Q1 2026 earnings; consensus in line with guidance midpoint.</w:t>
            </w:r>
          </w:p>
        </w:tc>
      </w:tr>
      <w:tr>
        <w:tc>
          <w:tcPr>
            <w:tcW w:type="dxa" w:w="1728"/>
          </w:tcPr>
          <w:p>
            <w:r>
              <w:rPr>
                <w:rFonts w:ascii="Calibri" w:hAnsi="Calibri"/>
                <w:sz w:val="22"/>
              </w:rPr>
              <w:t>SHOP Occupancy Growth (FY 2026)</w:t>
            </w:r>
          </w:p>
        </w:tc>
        <w:tc>
          <w:tcPr>
            <w:tcW w:type="dxa" w:w="1728"/>
          </w:tcPr>
          <w:p>
            <w:r>
              <w:rPr>
                <w:rFonts w:ascii="Calibri" w:hAnsi="Calibri"/>
                <w:sz w:val="22"/>
              </w:rPr>
              <w:t>~300 bps YoY (raised from 270 bps)</w:t>
            </w:r>
          </w:p>
        </w:tc>
        <w:tc>
          <w:tcPr>
            <w:tcW w:type="dxa" w:w="1728"/>
          </w:tcPr>
          <w:p>
            <w:r>
              <w:rPr>
                <w:rFonts w:ascii="Calibri" w:hAnsi="Calibri"/>
                <w:sz w:val="22"/>
              </w:rPr>
              <w:t>—</w:t>
            </w:r>
          </w:p>
        </w:tc>
        <w:tc>
          <w:tcPr>
            <w:tcW w:type="dxa" w:w="1728"/>
          </w:tcPr>
          <w:p>
            <w:r>
              <w:rPr>
                <w:rFonts w:ascii="Calibri" w:hAnsi="Calibri"/>
                <w:sz w:val="22"/>
              </w:rPr>
              <w:t>~300 bps</w:t>
            </w:r>
          </w:p>
        </w:tc>
        <w:tc>
          <w:tcPr>
            <w:tcW w:type="dxa" w:w="1728"/>
          </w:tcPr>
          <w:p>
            <w:r>
              <w:rPr>
                <w:rFonts w:ascii="Calibri" w:hAnsi="Calibri"/>
                <w:sz w:val="22"/>
              </w:rPr>
              <w:t>↑ Raised at Q1 2026 earnings; consensus tracking guidance.</w:t>
            </w:r>
          </w:p>
        </w:tc>
      </w:tr>
      <w:tr>
        <w:tc>
          <w:tcPr>
            <w:tcW w:type="dxa" w:w="1728"/>
          </w:tcPr>
          <w:p>
            <w:r>
              <w:rPr>
                <w:rFonts w:ascii="Calibri" w:hAnsi="Calibri"/>
                <w:sz w:val="22"/>
              </w:rPr>
              <w:t>Investment Volume (FY 2026)</w:t>
            </w:r>
          </w:p>
        </w:tc>
        <w:tc>
          <w:tcPr>
            <w:tcW w:type="dxa" w:w="1728"/>
          </w:tcPr>
          <w:p>
            <w:r>
              <w:rPr>
                <w:rFonts w:ascii="Calibri" w:hAnsi="Calibri"/>
                <w:sz w:val="22"/>
              </w:rPr>
              <w:t>$3.0B (raised from $2.5B)</w:t>
            </w:r>
          </w:p>
        </w:tc>
        <w:tc>
          <w:tcPr>
            <w:tcW w:type="dxa" w:w="1728"/>
          </w:tcPr>
          <w:p>
            <w:r>
              <w:rPr>
                <w:rFonts w:ascii="Calibri" w:hAnsi="Calibri"/>
                <w:sz w:val="22"/>
              </w:rPr>
              <w:t>—</w:t>
            </w:r>
          </w:p>
        </w:tc>
        <w:tc>
          <w:tcPr>
            <w:tcW w:type="dxa" w:w="1728"/>
          </w:tcPr>
          <w:p>
            <w:r>
              <w:rPr>
                <w:rFonts w:ascii="Calibri" w:hAnsi="Calibri"/>
                <w:sz w:val="22"/>
              </w:rPr>
              <w:t>~$2.95B</w:t>
            </w:r>
          </w:p>
        </w:tc>
        <w:tc>
          <w:tcPr>
            <w:tcW w:type="dxa" w:w="1728"/>
          </w:tcPr>
          <w:p>
            <w:r>
              <w:rPr>
                <w:rFonts w:ascii="Calibri" w:hAnsi="Calibri"/>
                <w:sz w:val="22"/>
              </w:rPr>
              <w:t>↑ Raised at Q1 2026 earnings; $1.7B already closed YTD as of Q1 print. Consensus slightly below guide.</w:t>
            </w:r>
          </w:p>
        </w:tc>
      </w:tr>
      <w:tr>
        <w:tc>
          <w:tcPr>
            <w:tcW w:type="dxa" w:w="1728"/>
          </w:tcPr>
          <w:p>
            <w:r>
              <w:rPr>
                <w:rFonts w:ascii="Calibri" w:hAnsi="Calibri"/>
                <w:sz w:val="22"/>
              </w:rPr>
              <w:t>ATM Equity Program Capacity</w:t>
            </w:r>
          </w:p>
        </w:tc>
        <w:tc>
          <w:tcPr>
            <w:tcW w:type="dxa" w:w="1728"/>
          </w:tcPr>
          <w:p>
            <w:r>
              <w:rPr>
                <w:rFonts w:ascii="Calibri" w:hAnsi="Calibri"/>
                <w:sz w:val="22"/>
              </w:rPr>
              <w:t>N/A (pre-existing program)</w:t>
            </w:r>
          </w:p>
        </w:tc>
        <w:tc>
          <w:tcPr>
            <w:tcW w:type="dxa" w:w="1728"/>
          </w:tcPr>
          <w:p>
            <w:r>
              <w:rPr>
                <w:rFonts w:ascii="Calibri" w:hAnsi="Calibri"/>
                <w:sz w:val="22"/>
              </w:rPr>
              <w:t>Expanded to $3.0B (May 15, 2026 — Amendment No. 3)</w:t>
            </w:r>
          </w:p>
        </w:tc>
        <w:tc>
          <w:tcPr>
            <w:tcW w:type="dxa" w:w="1728"/>
          </w:tcPr>
          <w:p>
            <w:r>
              <w:rPr>
                <w:rFonts w:ascii="Calibri" w:hAnsi="Calibri"/>
                <w:sz w:val="22"/>
              </w:rPr>
              <w:t>N/A</w:t>
            </w:r>
          </w:p>
        </w:tc>
        <w:tc>
          <w:tcPr>
            <w:tcW w:type="dxa" w:w="1728"/>
          </w:tcPr>
          <w:p>
            <w:r>
              <w:rPr>
                <w:rFonts w:ascii="Calibri" w:hAnsi="Calibri"/>
                <w:sz w:val="22"/>
              </w:rPr>
              <w:t>Capital action only; no change to operating guidance. Consistent with $3B investment target funding strategy.</w:t>
            </w:r>
          </w:p>
        </w:tc>
      </w:tr>
      <w:tr>
        <w:tc>
          <w:tcPr>
            <w:tcW w:type="dxa" w:w="1728"/>
          </w:tcPr>
          <w:p>
            <w:r>
              <w:rPr>
                <w:rFonts w:ascii="Calibri" w:hAnsi="Calibri"/>
                <w:sz w:val="22"/>
              </w:rPr>
              <w:t>Net Debt / EBITDA</w:t>
            </w:r>
          </w:p>
        </w:tc>
        <w:tc>
          <w:tcPr>
            <w:tcW w:type="dxa" w:w="1728"/>
          </w:tcPr>
          <w:p>
            <w:r>
              <w:rPr>
                <w:rFonts w:ascii="Calibri" w:hAnsi="Calibri"/>
                <w:sz w:val="22"/>
              </w:rPr>
              <w:t>5.0x (Q1 2026 actual); further improvement expected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10th consecutive quarter of sequential improvement; management expects continued deleveraging through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across all key metrics, tracking guidance rather than diverging from it. The gap between consensus and guidance midpoints is narrow and represents a slight cushion rather than a risk — the Street is not aggressively front-running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Norm. FFO/Share — Q2 2026</w:t>
            </w:r>
          </w:p>
        </w:tc>
        <w:tc>
          <w:tcPr>
            <w:tcW w:type="dxa" w:w="1080"/>
          </w:tcPr>
          <w:p>
            <w:r>
              <w:rPr>
                <w:rFonts w:ascii="Calibri" w:hAnsi="Calibri"/>
                <w:sz w:val="22"/>
              </w:rPr>
              <w:t>$0.954</w:t>
            </w:r>
          </w:p>
        </w:tc>
        <w:tc>
          <w:tcPr>
            <w:tcW w:type="dxa" w:w="1080"/>
          </w:tcPr>
          <w:p>
            <w:r>
              <w:rPr>
                <w:rFonts w:ascii="Calibri" w:hAnsi="Calibri"/>
                <w:sz w:val="22"/>
              </w:rPr>
              <w:t>$0.957</w:t>
            </w:r>
          </w:p>
        </w:tc>
        <w:tc>
          <w:tcPr>
            <w:tcW w:type="dxa" w:w="1080"/>
          </w:tcPr>
          <w:p>
            <w:r>
              <w:rPr>
                <w:rFonts w:ascii="Calibri" w:hAnsi="Calibri"/>
                <w:b/>
                <w:color w:val="30A46C"/>
                <w:sz w:val="22"/>
              </w:rPr>
              <w:t>+0.3%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Norm. FFO/Share — FY 2026</w:t>
            </w:r>
          </w:p>
        </w:tc>
        <w:tc>
          <w:tcPr>
            <w:tcW w:type="dxa" w:w="1080"/>
          </w:tcPr>
          <w:p>
            <w:r>
              <w:rPr>
                <w:rFonts w:ascii="Calibri" w:hAnsi="Calibri"/>
                <w:sz w:val="22"/>
              </w:rPr>
              <w:t>$3.882</w:t>
            </w:r>
          </w:p>
        </w:tc>
        <w:tc>
          <w:tcPr>
            <w:tcW w:type="dxa" w:w="1080"/>
          </w:tcPr>
          <w:p>
            <w:r>
              <w:rPr>
                <w:rFonts w:ascii="Calibri" w:hAnsi="Calibri"/>
                <w:sz w:val="22"/>
              </w:rPr>
              <w:t>$3.878</w:t>
            </w:r>
          </w:p>
        </w:tc>
        <w:tc>
          <w:tcPr>
            <w:tcW w:type="dxa" w:w="1080"/>
          </w:tcPr>
          <w:p>
            <w:r>
              <w:rPr>
                <w:rFonts w:ascii="Calibri" w:hAnsi="Calibri"/>
                <w:sz w:val="22"/>
              </w:rPr>
              <w:t>−0.1%</w:t>
            </w:r>
          </w:p>
        </w:tc>
        <w:tc>
          <w:tcPr>
            <w:tcW w:type="dxa" w:w="1080"/>
          </w:tcPr>
          <w:p>
            <w:r>
              <w:rPr>
                <w:rFonts w:ascii="Calibri" w:hAnsi="Calibri"/>
                <w:sz w:val="22"/>
              </w:rPr>
              <w:t>$3.82–$3.89 (mid $3.855)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w:t>
            </w:r>
          </w:p>
        </w:tc>
      </w:tr>
      <w:tr>
        <w:tc>
          <w:tcPr>
            <w:tcW w:type="dxa" w:w="1080"/>
          </w:tcPr>
          <w:p>
            <w:r>
              <w:rPr>
                <w:rFonts w:ascii="Calibri" w:hAnsi="Calibri"/>
                <w:sz w:val="22"/>
              </w:rPr>
              <w:t>SHOP SS NOI Growth — Q2 2026</w:t>
            </w:r>
          </w:p>
        </w:tc>
        <w:tc>
          <w:tcPr>
            <w:tcW w:type="dxa" w:w="1080"/>
          </w:tcPr>
          <w:p>
            <w:r>
              <w:rPr>
                <w:rFonts w:ascii="Calibri" w:hAnsi="Calibri"/>
                <w:sz w:val="22"/>
              </w:rPr>
              <w:t>~18.4%</w:t>
            </w:r>
          </w:p>
        </w:tc>
        <w:tc>
          <w:tcPr>
            <w:tcW w:type="dxa" w:w="1080"/>
          </w:tcPr>
          <w:p>
            <w:r>
              <w:rPr>
                <w:rFonts w:ascii="Calibri" w:hAnsi="Calibri"/>
                <w:sz w:val="22"/>
              </w:rPr>
              <w:t>~16.9%</w:t>
            </w:r>
          </w:p>
        </w:tc>
        <w:tc>
          <w:tcPr>
            <w:tcW w:type="dxa" w:w="1080"/>
          </w:tcPr>
          <w:p>
            <w:r>
              <w:rPr>
                <w:rFonts w:ascii="Calibri" w:hAnsi="Calibri"/>
                <w:b/>
                <w:color w:val="E5484D"/>
                <w:sz w:val="22"/>
              </w:rPr>
              <w:t>−150 bps</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SHOP SS NOI Growth — FY 2026</w:t>
            </w:r>
          </w:p>
        </w:tc>
        <w:tc>
          <w:tcPr>
            <w:tcW w:type="dxa" w:w="1080"/>
          </w:tcPr>
          <w:p>
            <w:r>
              <w:rPr>
                <w:rFonts w:ascii="Calibri" w:hAnsi="Calibri"/>
                <w:sz w:val="22"/>
              </w:rPr>
              <w:t>~17.2%</w:t>
            </w:r>
          </w:p>
        </w:tc>
        <w:tc>
          <w:tcPr>
            <w:tcW w:type="dxa" w:w="1080"/>
          </w:tcPr>
          <w:p>
            <w:r>
              <w:rPr>
                <w:rFonts w:ascii="Calibri" w:hAnsi="Calibri"/>
                <w:sz w:val="22"/>
              </w:rPr>
              <w:t>~16.4%</w:t>
            </w:r>
          </w:p>
        </w:tc>
        <w:tc>
          <w:tcPr>
            <w:tcW w:type="dxa" w:w="1080"/>
          </w:tcPr>
          <w:p>
            <w:r>
              <w:rPr>
                <w:rFonts w:ascii="Calibri" w:hAnsi="Calibri"/>
                <w:sz w:val="22"/>
              </w:rPr>
              <w:t>−~80 bps</w:t>
            </w:r>
          </w:p>
        </w:tc>
        <w:tc>
          <w:tcPr>
            <w:tcW w:type="dxa" w:w="1080"/>
          </w:tcPr>
          <w:p>
            <w:r>
              <w:rPr>
                <w:rFonts w:ascii="Calibri" w:hAnsi="Calibri"/>
                <w:sz w:val="22"/>
              </w:rPr>
              <w:t>~16% at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above mid</w:t>
            </w:r>
          </w:p>
        </w:tc>
      </w:tr>
      <w:tr>
        <w:tc>
          <w:tcPr>
            <w:tcW w:type="dxa" w:w="1080"/>
          </w:tcPr>
          <w:p>
            <w:r>
              <w:rPr>
                <w:rFonts w:ascii="Calibri" w:hAnsi="Calibri"/>
                <w:sz w:val="22"/>
              </w:rPr>
              <w:t>SHOP SS Occupancy — Q2 2026</w:t>
            </w:r>
          </w:p>
        </w:tc>
        <w:tc>
          <w:tcPr>
            <w:tcW w:type="dxa" w:w="1080"/>
          </w:tcPr>
          <w:p>
            <w:r>
              <w:rPr>
                <w:rFonts w:ascii="Calibri" w:hAnsi="Calibri"/>
                <w:sz w:val="22"/>
              </w:rPr>
              <w:t>~90.96%</w:t>
            </w:r>
          </w:p>
        </w:tc>
        <w:tc>
          <w:tcPr>
            <w:tcW w:type="dxa" w:w="1080"/>
          </w:tcPr>
          <w:p>
            <w:r>
              <w:rPr>
                <w:rFonts w:ascii="Calibri" w:hAnsi="Calibri"/>
                <w:sz w:val="22"/>
              </w:rPr>
              <w:t>~90.91%</w:t>
            </w:r>
          </w:p>
        </w:tc>
        <w:tc>
          <w:tcPr>
            <w:tcW w:type="dxa" w:w="1080"/>
          </w:tcPr>
          <w:p>
            <w:r>
              <w:rPr>
                <w:rFonts w:ascii="Calibri" w:hAnsi="Calibri"/>
                <w:sz w:val="22"/>
              </w:rPr>
              <w:t>−5 bps</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RevPOR — Q2 2026 ($)</w:t>
            </w:r>
          </w:p>
        </w:tc>
        <w:tc>
          <w:tcPr>
            <w:tcW w:type="dxa" w:w="1080"/>
          </w:tcPr>
          <w:p>
            <w:r>
              <w:rPr>
                <w:rFonts w:ascii="Calibri" w:hAnsi="Calibri"/>
                <w:sz w:val="22"/>
              </w:rPr>
              <w:t>~$5,619</w:t>
            </w:r>
          </w:p>
        </w:tc>
        <w:tc>
          <w:tcPr>
            <w:tcW w:type="dxa" w:w="1080"/>
          </w:tcPr>
          <w:p>
            <w:r>
              <w:rPr>
                <w:rFonts w:ascii="Calibri" w:hAnsi="Calibri"/>
                <w:sz w:val="22"/>
              </w:rPr>
              <w:t>~$5,562</w:t>
            </w:r>
          </w:p>
        </w:tc>
        <w:tc>
          <w:tcPr>
            <w:tcW w:type="dxa" w:w="1080"/>
          </w:tcPr>
          <w:p>
            <w:r>
              <w:rPr>
                <w:rFonts w:ascii="Calibri" w:hAnsi="Calibri"/>
                <w:sz w:val="22"/>
              </w:rPr>
              <w:t>−1.0%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Estimates for SHOP NOI growth have been modestly revised down from the immediate post-Q1 baseline (18.4% → 16.9% for Q2), reflecting the Street recalibrating to the 16% FY guidance midpoint rather than extrapolating Q1's 15.4% run-rate. FFO estimates are essentially flat, suggesting no meaningful revision risk in either direction. The gap between consensus and guidance is narrow across all metrics, representing a slight cushion rather than a risk.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VTR has surged ~16% since the Q1 2026 earnings date (April 27), dramatically outperforming both XLRE (+5.9%) and the S&amp;P 500 (+3.6%). The 12-month gain of ~47% has been predominantly multiple-expansion driven (EV/EBITDA from 18.9x to 22.4x), meaning the stock has re-rated on the durability of the SHOP growth thesis — not just estimate revisions.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VTR vs. XLRE vs. S&amp;P 500 — Indexed to 100 at Q1 2026 Earnings Date (April 27, 2026). XLRE = Real Estate Select Sector ETF (VTR's sector benchmark). Source: Stock Price Data.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VTR Price Change</w:t>
            </w:r>
          </w:p>
        </w:tc>
        <w:tc>
          <w:tcPr>
            <w:tcW w:type="dxa" w:w="1440"/>
            <w:shd w:val="clear" w:color="auto" w:fill="3B4259"/>
          </w:tcPr>
          <w:p>
            <w:r>
              <w:rPr>
                <w:rFonts w:ascii="Calibri" w:hAnsi="Calibri"/>
                <w:b/>
                <w:color w:val="FFFFFF"/>
                <w:sz w:val="22"/>
              </w:rPr>
              <w:t>EV/EBITDA at Start</w:t>
            </w:r>
          </w:p>
        </w:tc>
        <w:tc>
          <w:tcPr>
            <w:tcW w:type="dxa" w:w="1440"/>
            <w:shd w:val="clear" w:color="auto" w:fill="3B4259"/>
          </w:tcPr>
          <w:p>
            <w:r>
              <w:rPr>
                <w:rFonts w:ascii="Calibri" w:hAnsi="Calibri"/>
                <w:b/>
                <w:color w:val="FFFFFF"/>
                <w:sz w:val="22"/>
              </w:rPr>
              <w:t>EV/EBITDA Now (22.4x)</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Commentary</w:t>
            </w:r>
          </w:p>
        </w:tc>
      </w:tr>
      <w:tr>
        <w:tc>
          <w:tcPr>
            <w:tcW w:type="dxa" w:w="1440"/>
          </w:tcPr>
          <w:p>
            <w:r>
              <w:rPr>
                <w:rFonts w:ascii="Calibri" w:hAnsi="Calibri"/>
                <w:sz w:val="22"/>
              </w:rPr>
              <w:t>1 Month</w:t>
            </w:r>
          </w:p>
        </w:tc>
        <w:tc>
          <w:tcPr>
            <w:tcW w:type="dxa" w:w="1440"/>
          </w:tcPr>
          <w:p>
            <w:r>
              <w:rPr>
                <w:rFonts w:ascii="Calibri" w:hAnsi="Calibri"/>
                <w:sz w:val="22"/>
              </w:rPr>
              <w:t>+10.2%</w:t>
            </w:r>
          </w:p>
        </w:tc>
        <w:tc>
          <w:tcPr>
            <w:tcW w:type="dxa" w:w="1440"/>
          </w:tcPr>
          <w:p>
            <w:r>
              <w:rPr>
                <w:rFonts w:ascii="Calibri" w:hAnsi="Calibri"/>
                <w:sz w:val="22"/>
              </w:rPr>
              <w:t>20.7x</w:t>
            </w:r>
          </w:p>
        </w:tc>
        <w:tc>
          <w:tcPr>
            <w:tcW w:type="dxa" w:w="1440"/>
          </w:tcPr>
          <w:p>
            <w:r>
              <w:rPr>
                <w:rFonts w:ascii="Calibri" w:hAnsi="Calibri"/>
                <w:sz w:val="22"/>
              </w:rPr>
              <w:t>22.4x</w:t>
            </w:r>
          </w:p>
        </w:tc>
        <w:tc>
          <w:tcPr>
            <w:tcW w:type="dxa" w:w="1440"/>
          </w:tcPr>
          <w:p>
            <w:r>
              <w:rPr>
                <w:rFonts w:ascii="Calibri" w:hAnsi="Calibri"/>
                <w:sz w:val="22"/>
              </w:rPr>
              <w:t>+8.1%</w:t>
            </w:r>
          </w:p>
        </w:tc>
        <w:tc>
          <w:tcPr>
            <w:tcW w:type="dxa" w:w="1440"/>
          </w:tcPr>
          <w:p>
            <w:r>
              <w:rPr>
                <w:rFonts w:ascii="Calibri" w:hAnsi="Calibri"/>
                <w:sz w:val="22"/>
              </w:rPr>
              <w:t>Multiple expansion dominant; WELL Q2 print (Jul 27) and sector re-rating driving near-term move.</w:t>
            </w:r>
          </w:p>
        </w:tc>
      </w:tr>
      <w:tr>
        <w:tc>
          <w:tcPr>
            <w:tcW w:type="dxa" w:w="1440"/>
          </w:tcPr>
          <w:p>
            <w:r>
              <w:rPr>
                <w:rFonts w:ascii="Calibri" w:hAnsi="Calibri"/>
                <w:sz w:val="22"/>
              </w:rPr>
              <w:t>3 Months</w:t>
            </w:r>
          </w:p>
        </w:tc>
        <w:tc>
          <w:tcPr>
            <w:tcW w:type="dxa" w:w="1440"/>
          </w:tcPr>
          <w:p>
            <w:r>
              <w:rPr>
                <w:rFonts w:ascii="Calibri" w:hAnsi="Calibri"/>
                <w:sz w:val="22"/>
              </w:rPr>
              <w:t>+15.9%</w:t>
            </w:r>
          </w:p>
        </w:tc>
        <w:tc>
          <w:tcPr>
            <w:tcW w:type="dxa" w:w="1440"/>
          </w:tcPr>
          <w:p>
            <w:r>
              <w:rPr>
                <w:rFonts w:ascii="Calibri" w:hAnsi="Calibri"/>
                <w:sz w:val="22"/>
              </w:rPr>
              <w:t>20.2x</w:t>
            </w:r>
          </w:p>
        </w:tc>
        <w:tc>
          <w:tcPr>
            <w:tcW w:type="dxa" w:w="1440"/>
          </w:tcPr>
          <w:p>
            <w:r>
              <w:rPr>
                <w:rFonts w:ascii="Calibri" w:hAnsi="Calibri"/>
                <w:sz w:val="22"/>
              </w:rPr>
              <w:t>22.4x</w:t>
            </w:r>
          </w:p>
        </w:tc>
        <w:tc>
          <w:tcPr>
            <w:tcW w:type="dxa" w:w="1440"/>
          </w:tcPr>
          <w:p>
            <w:r>
              <w:rPr>
                <w:rFonts w:ascii="Calibri" w:hAnsi="Calibri"/>
                <w:sz w:val="22"/>
              </w:rPr>
              <w:t>+10.8%</w:t>
            </w:r>
          </w:p>
        </w:tc>
        <w:tc>
          <w:tcPr>
            <w:tcW w:type="dxa" w:w="1440"/>
          </w:tcPr>
          <w:p>
            <w:r>
              <w:rPr>
                <w:rFonts w:ascii="Calibri" w:hAnsi="Calibri"/>
                <w:sz w:val="22"/>
              </w:rPr>
              <w:t>Multiple expansion dominant; Q1 beat and guidance raise catalyzed the move.</w:t>
            </w:r>
          </w:p>
        </w:tc>
      </w:tr>
      <w:tr>
        <w:tc>
          <w:tcPr>
            <w:tcW w:type="dxa" w:w="1440"/>
          </w:tcPr>
          <w:p>
            <w:r>
              <w:rPr>
                <w:rFonts w:ascii="Calibri" w:hAnsi="Calibri"/>
                <w:sz w:val="22"/>
              </w:rPr>
              <w:t>6 Months</w:t>
            </w:r>
          </w:p>
        </w:tc>
        <w:tc>
          <w:tcPr>
            <w:tcW w:type="dxa" w:w="1440"/>
          </w:tcPr>
          <w:p>
            <w:r>
              <w:rPr>
                <w:rFonts w:ascii="Calibri" w:hAnsi="Calibri"/>
                <w:sz w:val="22"/>
              </w:rPr>
              <w:t>+28.7%</w:t>
            </w:r>
          </w:p>
        </w:tc>
        <w:tc>
          <w:tcPr>
            <w:tcW w:type="dxa" w:w="1440"/>
          </w:tcPr>
          <w:p>
            <w:r>
              <w:rPr>
                <w:rFonts w:ascii="Calibri" w:hAnsi="Calibri"/>
                <w:sz w:val="22"/>
              </w:rPr>
              <w:t>19.7x</w:t>
            </w:r>
          </w:p>
        </w:tc>
        <w:tc>
          <w:tcPr>
            <w:tcW w:type="dxa" w:w="1440"/>
          </w:tcPr>
          <w:p>
            <w:r>
              <w:rPr>
                <w:rFonts w:ascii="Calibri" w:hAnsi="Calibri"/>
                <w:sz w:val="22"/>
              </w:rPr>
              <w:t>22.4x</w:t>
            </w:r>
          </w:p>
        </w:tc>
        <w:tc>
          <w:tcPr>
            <w:tcW w:type="dxa" w:w="1440"/>
          </w:tcPr>
          <w:p>
            <w:r>
              <w:rPr>
                <w:rFonts w:ascii="Calibri" w:hAnsi="Calibri"/>
                <w:sz w:val="22"/>
              </w:rPr>
              <w:t>+13.7%</w:t>
            </w:r>
          </w:p>
        </w:tc>
        <w:tc>
          <w:tcPr>
            <w:tcW w:type="dxa" w:w="1440"/>
          </w:tcPr>
          <w:p>
            <w:r>
              <w:rPr>
                <w:rFonts w:ascii="Calibri" w:hAnsi="Calibri"/>
                <w:sz w:val="22"/>
              </w:rPr>
              <w:t>Combination of multiple expansion and earnings growth; SHOP thesis gaining broader market acceptance.</w:t>
            </w:r>
          </w:p>
        </w:tc>
      </w:tr>
      <w:tr>
        <w:tc>
          <w:tcPr>
            <w:tcW w:type="dxa" w:w="1440"/>
          </w:tcPr>
          <w:p>
            <w:r>
              <w:rPr>
                <w:rFonts w:ascii="Calibri" w:hAnsi="Calibri"/>
                <w:sz w:val="22"/>
              </w:rPr>
              <w:t>12 Months</w:t>
            </w:r>
          </w:p>
        </w:tc>
        <w:tc>
          <w:tcPr>
            <w:tcW w:type="dxa" w:w="1440"/>
          </w:tcPr>
          <w:p>
            <w:r>
              <w:rPr>
                <w:rFonts w:ascii="Calibri" w:hAnsi="Calibri"/>
                <w:sz w:val="22"/>
              </w:rPr>
              <w:t>+47.7%</w:t>
            </w:r>
          </w:p>
        </w:tc>
        <w:tc>
          <w:tcPr>
            <w:tcW w:type="dxa" w:w="1440"/>
          </w:tcPr>
          <w:p>
            <w:r>
              <w:rPr>
                <w:rFonts w:ascii="Calibri" w:hAnsi="Calibri"/>
                <w:sz w:val="22"/>
              </w:rPr>
              <w:t>18.9x</w:t>
            </w:r>
          </w:p>
        </w:tc>
        <w:tc>
          <w:tcPr>
            <w:tcW w:type="dxa" w:w="1440"/>
          </w:tcPr>
          <w:p>
            <w:r>
              <w:rPr>
                <w:rFonts w:ascii="Calibri" w:hAnsi="Calibri"/>
                <w:sz w:val="22"/>
              </w:rPr>
              <w:t>22.4x</w:t>
            </w:r>
          </w:p>
        </w:tc>
        <w:tc>
          <w:tcPr>
            <w:tcW w:type="dxa" w:w="1440"/>
          </w:tcPr>
          <w:p>
            <w:r>
              <w:rPr>
                <w:rFonts w:ascii="Calibri" w:hAnsi="Calibri"/>
                <w:sz w:val="22"/>
              </w:rPr>
              <w:t>+18.3%</w:t>
            </w:r>
          </w:p>
        </w:tc>
        <w:tc>
          <w:tcPr>
            <w:tcW w:type="dxa" w:w="1440"/>
          </w:tcPr>
          <w:p>
            <w:r>
              <w:rPr>
                <w:rFonts w:ascii="Calibri" w:hAnsi="Calibri"/>
                <w:sz w:val="22"/>
              </w:rPr>
              <w:t>Multiple expansion accounts for ~38% of total return; earnings growth accounts for ~62%. Durable re-rating.</w:t>
            </w:r>
          </w:p>
        </w:tc>
      </w:tr>
    </w:tbl>
    <w:p>
      <w:r>
        <w:rPr>
          <w:rFonts w:ascii="Calibri" w:hAnsi="Calibri"/>
          <w:i/>
          <w:color w:val="525866"/>
          <w:sz w:val="22"/>
        </w:rPr>
        <w:t xml:space="preserve">Source: Stock Price Data; Visible Alpha Consensus and Actuals Data (EV/EBITDA multiples). </w:t>
      </w:r>
      <w:r>
        <w:rPr>
          <w:rFonts w:ascii="Calibri" w:hAnsi="Calibri"/>
          <w:color w:val="525866"/>
          <w:sz w:val="22"/>
        </w:rPr>
        <w:t>Key events since Q1 earnings: (1) May 15 — ATM expanded to $3B; (2) June 15 — General Counsel Carey Roberts resigned to join Blackstone; (3) July 27 — Welltower Q2 2026 beat and guidance raise, driving sector re-rating and VTR to new highs above $100.</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Welltower's Q2 2026 beat and guidance raise (July 27), which provides a direct positive read-through for VTR's SHOP segment and has already driven VTR shares to new highs above $100. The ATM expansion and General Counsel departure are secondary items.</w:t>
      </w:r>
    </w:p>
    <w:p>
      <w:pPr>
        <w:pStyle w:val="ListBullet"/>
        <w:ind w:left="360" w:hanging="360"/>
      </w:pPr>
      <w:r>
        <w:rPr>
          <w:rFonts w:ascii="Calibri" w:hAnsi="Calibri"/>
          <w:color w:val="525866"/>
          <w:sz w:val="22"/>
        </w:rPr>
        <w:t>July 27, 2026 — Welltower (WELL) Q2 2026 Earnings Beat &amp; Guidance Raise (</w:t>
      </w:r>
      <w:r>
        <w:rPr>
          <w:rFonts w:ascii="Calibri" w:hAnsi="Calibri"/>
          <w:b/>
          <w:color w:val="525866"/>
          <w:sz w:val="22"/>
        </w:rPr>
        <w:t>MOST IMPORTANT</w:t>
      </w:r>
      <w:r>
        <w:rPr>
          <w:rFonts w:ascii="Calibri" w:hAnsi="Calibri"/>
          <w:color w:val="525866"/>
          <w:sz w:val="22"/>
        </w:rPr>
        <w:t xml:space="preserve">): WELL reported Q2 SHOP same-store NOI growth of +20.5%, raised full-year SHOP NOI growth guidance to 18.5%–21.5%, and reported 330 bps of YoY occupancy growth with sequential spot occupancy up 100 bps in Q2. WELL also launched a $7.5B ATM equity offering on July 28, signaling aggressive capital deployment. </w:t>
      </w:r>
      <w:r>
        <w:rPr>
          <w:rFonts w:ascii="Calibri" w:hAnsi="Calibri"/>
          <w:color w:val="525866"/>
          <w:sz w:val="22"/>
        </w:rPr>
        <w:t>Implication: Direct positive read-through for VTR SHOP — the senior housing operating environment in Q2 was strong, and the summer selling season appears to be tracking well. VTR shares rose to ~$100+ on the WELL print.</w:t>
      </w:r>
    </w:p>
    <w:p>
      <w:pPr>
        <w:pStyle w:val="ListBullet"/>
        <w:ind w:left="360" w:hanging="360"/>
      </w:pPr>
      <w:r>
        <w:rPr>
          <w:rFonts w:ascii="Calibri" w:hAnsi="Calibri"/>
          <w:b/>
          <w:color w:val="525866"/>
          <w:sz w:val="22"/>
        </w:rPr>
        <w:t xml:space="preserve">July 28, 2026 — Welltower Launches $7.5B ATM Equity Offering: </w:t>
      </w:r>
      <w:r>
        <w:rPr>
          <w:rFonts w:ascii="Calibri" w:hAnsi="Calibri"/>
          <w:color w:val="525866"/>
          <w:sz w:val="22"/>
        </w:rPr>
        <w:t>WELL filed an equity distribution agreement for up to $7.5B in common stock. Implication: Signals WELL's confidence in the acquisition pipeline and the senior housing investment opportunity. Consistent with VTR's own $3B investment target and ATM expansion.</w:t>
      </w:r>
    </w:p>
    <w:p>
      <w:pPr>
        <w:pStyle w:val="ListBullet"/>
        <w:ind w:left="360" w:hanging="360"/>
      </w:pPr>
      <w:r>
        <w:rPr>
          <w:rFonts w:ascii="Calibri" w:hAnsi="Calibri"/>
          <w:b/>
          <w:color w:val="525866"/>
          <w:sz w:val="22"/>
        </w:rPr>
        <w:t xml:space="preserve">July 21, 2026 — Sabra Health Care REIT (SBRA) Business Update: </w:t>
      </w:r>
      <w:r>
        <w:rPr>
          <w:rFonts w:ascii="Calibri" w:hAnsi="Calibri"/>
          <w:color w:val="525866"/>
          <w:sz w:val="22"/>
        </w:rPr>
        <w:t>SBRA raised FY 2026 Normalized FFO guidance to $1.53–$1.55/share (+7% YoY at midpoint) and guided for "low-to-mid teens" same-store Senior Housing Managed NOI growth. Also announced re-tenanting of 26 Avamere properties to Cascadia Healthcare, increasing annualized cash rent by ~30%. Implication: Positive read-through for senior housing operating fundamentals; confirms the sector-wide NOI growth trajectory.</w:t>
      </w:r>
    </w:p>
    <w:p>
      <w:pPr>
        <w:pStyle w:val="ListBullet"/>
        <w:ind w:left="360" w:hanging="360"/>
      </w:pPr>
      <w:r>
        <w:rPr>
          <w:rFonts w:ascii="Calibri" w:hAnsi="Calibri"/>
          <w:b/>
          <w:color w:val="525866"/>
          <w:sz w:val="22"/>
        </w:rPr>
        <w:t xml:space="preserve">June 15, 2026 — General Counsel Carey Roberts Resigns to Join Blackstone: </w:t>
      </w:r>
      <w:r>
        <w:rPr>
          <w:rFonts w:ascii="Calibri" w:hAnsi="Calibri"/>
          <w:color w:val="525866"/>
          <w:sz w:val="22"/>
        </w:rPr>
        <w:t>VTR's General Counsel departed to join Blackstone. Implication: Minor management disruption; Blackstone's interest in hiring senior housing expertise is consistent with the sector's attractiveness. No guidance impact.</w:t>
      </w:r>
    </w:p>
    <w:p>
      <w:pPr>
        <w:pStyle w:val="ListBullet"/>
        <w:ind w:left="360" w:hanging="360"/>
      </w:pPr>
      <w:r>
        <w:rPr>
          <w:rFonts w:ascii="Calibri" w:hAnsi="Calibri"/>
          <w:b/>
          <w:color w:val="525866"/>
          <w:sz w:val="22"/>
        </w:rPr>
        <w:t xml:space="preserve">May 15, 2026 — VTR Expands ATM Equity Program to $3.0B (Amendment No. 3): </w:t>
      </w:r>
      <w:r>
        <w:rPr>
          <w:rFonts w:ascii="Calibri" w:hAnsi="Calibri"/>
          <w:color w:val="525866"/>
          <w:sz w:val="22"/>
        </w:rPr>
        <w:t>VTR expanded its at-the-market equity program capacity to $3.0B in aggregate gross sales, excluding shares previously sold. Implication: Provides capital flexibility to fund the raised $3B investment target for 2026. Consistent with management's equity-funded acquisition strategy and commitment to maintaining leverage at ~5x Net Debt/EBITDA.</w:t>
      </w:r>
    </w:p>
    <w:p>
      <w:pPr>
        <w:pStyle w:val="ListBullet"/>
        <w:ind w:left="360" w:hanging="360"/>
      </w:pPr>
      <w:r>
        <w:rPr>
          <w:rFonts w:ascii="Calibri" w:hAnsi="Calibri"/>
          <w:b/>
          <w:color w:val="525866"/>
          <w:sz w:val="22"/>
        </w:rPr>
        <w:t xml:space="preserve">July 22, 2026 — American Healthcare REIT (AHR) Names Permanent CEO: </w:t>
      </w:r>
      <w:r>
        <w:rPr>
          <w:rFonts w:ascii="Calibri" w:hAnsi="Calibri"/>
          <w:color w:val="525866"/>
          <w:sz w:val="22"/>
        </w:rPr>
        <w:t>AHR appointed Jeffrey Hanson as permanent CEO. Implication: Minor sector news; AHR is a smaller peer. No direct VTR impact.</w:t>
      </w:r>
    </w:p>
    <w:p>
      <w:pPr>
        <w:pStyle w:val="ListBullet"/>
        <w:ind w:left="360" w:hanging="360"/>
      </w:pPr>
      <w:r>
        <w:rPr>
          <w:rFonts w:ascii="Calibri" w:hAnsi="Calibri"/>
          <w:b/>
          <w:color w:val="525866"/>
          <w:sz w:val="22"/>
        </w:rPr>
        <w:t xml:space="preserve">July 16, 2026 — Analyst/Sector Tailwind — UnitedHealth Q2 Beat &amp; Guidance Raise: </w:t>
      </w:r>
      <w:r>
        <w:rPr>
          <w:rFonts w:ascii="Calibri" w:hAnsi="Calibri"/>
          <w:color w:val="525866"/>
          <w:sz w:val="22"/>
        </w:rPr>
        <w:t>UNH reported Q2 EPS of $6.38 vs. $4.89 consensus and raised FY guidance to $19.50–$20.00, with medical cost ratio improving to 86.7%. Implication: Improving managed care cost trends are a positive macro backdrop for senior housing operators, as lower healthcare costs support resident affordability and operator margins.</w:t>
      </w:r>
    </w:p>
    <w:p>
      <w:r>
        <w:br w:type="page"/>
      </w:r>
    </w:p>
    <w:p>
      <w:pPr>
        <w:pStyle w:val="Heading2"/>
      </w:pPr>
      <w:r>
        <w:rPr>
          <w:rFonts w:ascii="Calibri" w:hAnsi="Calibri"/>
          <w:b/>
          <w:color w:val="3B4259"/>
          <w:sz w:val="28"/>
        </w:rPr>
        <w:t>7. Peer Commentary: Current-Quarter Read-Through (Last 60 Days)</w:t>
      </w:r>
    </w:p>
    <w:p>
      <w:r>
        <w:rPr>
          <w:rFonts w:ascii="Calibri" w:hAnsi="Calibri"/>
          <w:b/>
          <w:color w:val="525866"/>
          <w:sz w:val="22"/>
        </w:rPr>
        <w:t xml:space="preserve">Key Takeaway: </w:t>
      </w:r>
      <w:r>
        <w:rPr>
          <w:rFonts w:ascii="Calibri" w:hAnsi="Calibri"/>
          <w:color w:val="525866"/>
          <w:sz w:val="22"/>
        </w:rPr>
        <w:t>Peer commentary from the last 60 days is uniformly positive for VTR's Q2 2026 SHOP outlook. Welltower's Q2 2026 print (the most direct read-through) delivered 330 bps of YoY occupancy growth, 20.5% SHOP NOI growth, and a guidance raise — all pointing to a strong Q2 for VTR. AHR's June conference commentary and SBRA's July business update reinforce the sector-wide NOI growth trajectory. All commentary below addresses Q2 2026 current-quarter conditions or forward outlook; no retrospective prior-quarter peer commentary is included.</w:t>
      </w:r>
    </w:p>
    <w:p>
      <w:pPr>
        <w:pStyle w:val="Heading3"/>
      </w:pPr>
      <w:r>
        <w:rPr>
          <w:rFonts w:ascii="Calibri" w:hAnsi="Calibri"/>
          <w:b/>
          <w:color w:val="3B4259"/>
          <w:sz w:val="24"/>
        </w:rPr>
        <w:t>Welltower (WELL) — Q2 2026 Earnings (Reported July 27, 2026)</w:t>
      </w:r>
    </w:p>
    <w:p>
      <w:r>
        <w:rPr>
          <w:rFonts w:ascii="Calibri" w:hAnsi="Calibri"/>
          <w:b/>
          <w:color w:val="525866"/>
          <w:sz w:val="22"/>
        </w:rPr>
        <w:t xml:space="preserve">Comparability to VTR SHOP: </w:t>
      </w:r>
      <w:r>
        <w:rPr>
          <w:rFonts w:ascii="Calibri" w:hAnsi="Calibri"/>
          <w:color w:val="525866"/>
          <w:sz w:val="22"/>
        </w:rPr>
        <w:t>Direct. WELL is VTR's closest peer in senior housing operating portfolio strategy, with SHOP now representing ~70% of WELL's NOI (vs. ~60%+ for VTR). WELL's Q2 2026 results are the single most important read-through for VTR's Q2 print.</w:t>
      </w:r>
    </w:p>
    <w:p>
      <w:pPr>
        <w:pStyle w:val="ListBullet"/>
        <w:ind w:left="360" w:hanging="360"/>
      </w:pPr>
      <w:r>
        <w:rPr>
          <w:rFonts w:ascii="Calibri" w:hAnsi="Calibri"/>
          <w:b/>
          <w:color w:val="525866"/>
          <w:sz w:val="22"/>
        </w:rPr>
        <w:t xml:space="preserve">SHOP Same-Store NOI Growth: </w:t>
      </w:r>
      <w:r>
        <w:rPr>
          <w:rFonts w:ascii="Calibri" w:hAnsi="Calibri"/>
          <w:color w:val="525866"/>
          <w:sz w:val="22"/>
        </w:rPr>
        <w:t xml:space="preserve">+20.5% in Q2 2026, driving total portfolio same-store NOI growth of +15.5%. WELL raised full-year SHOP NOI growth guidance to </w:t>
      </w:r>
      <w:r>
        <w:rPr>
          <w:rFonts w:ascii="Calibri" w:hAnsi="Calibri"/>
          <w:b/>
          <w:color w:val="525866"/>
          <w:sz w:val="22"/>
        </w:rPr>
        <w:t>18.5%–21.5%</w:t>
      </w:r>
      <w:r>
        <w:rPr>
          <w:rFonts w:ascii="Calibri" w:hAnsi="Calibri"/>
          <w:color w:val="525866"/>
          <w:sz w:val="22"/>
        </w:rPr>
        <w:t xml:space="preserve"> (from prior guidance). Read-through: Confirms the senior housing operating environment in Q2 was strong. VTR's consensus of ~16.9% SHOP NOI growth for Q2 appears achievable.</w:t>
      </w:r>
    </w:p>
    <w:p>
      <w:pPr>
        <w:pStyle w:val="ListBullet"/>
        <w:ind w:left="360" w:hanging="360"/>
      </w:pPr>
      <w:r>
        <w:rPr>
          <w:rFonts w:ascii="Calibri" w:hAnsi="Calibri"/>
          <w:b/>
          <w:color w:val="525866"/>
          <w:sz w:val="22"/>
        </w:rPr>
        <w:t xml:space="preserve">Occupancy: </w:t>
      </w:r>
      <w:r>
        <w:rPr>
          <w:rFonts w:ascii="Calibri" w:hAnsi="Calibri"/>
          <w:color w:val="525866"/>
          <w:sz w:val="22"/>
        </w:rPr>
        <w:t xml:space="preserve">Same-store occupancy increased </w:t>
      </w:r>
      <w:r>
        <w:rPr>
          <w:rFonts w:ascii="Calibri" w:hAnsi="Calibri"/>
          <w:b/>
          <w:color w:val="525866"/>
          <w:sz w:val="22"/>
        </w:rPr>
        <w:t>330 bps YoY</w:t>
      </w:r>
      <w:r>
        <w:rPr>
          <w:rFonts w:ascii="Calibri" w:hAnsi="Calibri"/>
          <w:color w:val="525866"/>
          <w:sz w:val="22"/>
        </w:rPr>
        <w:t xml:space="preserve"> in Q2 2026, with sequential spot occupancy up 100 bps (vs. 80 bps in Q2 2025). Overall same-store portfolio approaching 89.5% occupancy. Read-through: VTR's consensus of ~90.9% occupancy (vs. 87.7% in Q2 2025, implying ~320 bps YoY growth) is consistent with WELL's trajectory.</w:t>
      </w:r>
    </w:p>
    <w:p>
      <w:pPr>
        <w:pStyle w:val="ListBullet"/>
        <w:ind w:left="360" w:hanging="360"/>
      </w:pPr>
      <w:r>
        <w:rPr>
          <w:rFonts w:ascii="Calibri" w:hAnsi="Calibri"/>
          <w:b/>
          <w:color w:val="525866"/>
          <w:sz w:val="22"/>
        </w:rPr>
        <w:t xml:space="preserve">RevPOR / Rate: </w:t>
      </w:r>
      <w:r>
        <w:rPr>
          <w:rFonts w:ascii="Calibri" w:hAnsi="Calibri"/>
          <w:color w:val="525866"/>
          <w:sz w:val="22"/>
        </w:rPr>
        <w:t xml:space="preserve">RevPAR (unit revenue) increased </w:t>
      </w:r>
      <w:r>
        <w:rPr>
          <w:rFonts w:ascii="Calibri" w:hAnsi="Calibri"/>
          <w:b/>
          <w:color w:val="525866"/>
          <w:sz w:val="22"/>
        </w:rPr>
        <w:t>+5.2% YoY</w:t>
      </w:r>
      <w:r>
        <w:rPr>
          <w:rFonts w:ascii="Calibri" w:hAnsi="Calibri"/>
          <w:color w:val="525866"/>
          <w:sz w:val="22"/>
        </w:rPr>
        <w:t xml:space="preserve"> in Q2 2026 (vs. +4.9% in Q2 2025). WELL noted that assets crossing 90% and 95% occupancy thresholds create additional pricing power. Read-through: Positive for VTR's RevPOR trajectory, particularly as VTR's U.S. portfolio average occupancy approaches and crosses 90%.</w:t>
      </w:r>
    </w:p>
    <w:p>
      <w:pPr>
        <w:pStyle w:val="ListBullet"/>
        <w:ind w:left="360" w:hanging="360"/>
      </w:pPr>
      <w:r>
        <w:rPr>
          <w:rFonts w:ascii="Calibri" w:hAnsi="Calibri"/>
          <w:b/>
          <w:color w:val="525866"/>
          <w:sz w:val="22"/>
        </w:rPr>
        <w:t xml:space="preserve">Margins / Labor: </w:t>
      </w:r>
      <w:r>
        <w:rPr>
          <w:rFonts w:ascii="Calibri" w:hAnsi="Calibri"/>
          <w:color w:val="525866"/>
          <w:sz w:val="22"/>
        </w:rPr>
        <w:t xml:space="preserve">Operating margins expanded </w:t>
      </w:r>
      <w:r>
        <w:rPr>
          <w:rFonts w:ascii="Calibri" w:hAnsi="Calibri"/>
          <w:b/>
          <w:color w:val="525866"/>
          <w:sz w:val="22"/>
        </w:rPr>
        <w:t>300 bps to over 32%</w:t>
      </w:r>
      <w:r>
        <w:rPr>
          <w:rFonts w:ascii="Calibri" w:hAnsi="Calibri"/>
          <w:color w:val="525866"/>
          <w:sz w:val="22"/>
        </w:rPr>
        <w:t>, surpassing pre-COVID levels. Unit expense growth was just +0.7% YoY (compensation per occupied room +0.8%). SHOP flow-through margins in the mid-60% range for the second consecutive quarter. Read-through: Labor cost normalization is a sector-wide tailwind. VTR's ~50% incremental NOI margins should be supported by similar dynamics.</w:t>
      </w:r>
    </w:p>
    <w:p>
      <w:pPr>
        <w:pStyle w:val="ListBullet"/>
        <w:ind w:left="360" w:hanging="360"/>
      </w:pPr>
      <w:r>
        <w:rPr>
          <w:rFonts w:ascii="Calibri" w:hAnsi="Calibri"/>
          <w:b/>
          <w:color w:val="525866"/>
          <w:sz w:val="22"/>
        </w:rPr>
        <w:t xml:space="preserve">Transaction Environment: </w:t>
      </w:r>
      <w:r>
        <w:rPr>
          <w:rFonts w:ascii="Calibri" w:hAnsi="Calibri"/>
          <w:color w:val="525866"/>
          <w:sz w:val="22"/>
        </w:rPr>
        <w:t>WELL completed over 30 transactions totaling $6.2B in Q2 2026, with ~96% sourced off-market. Pipeline of investments expected to close in H2 2026 has average in-place occupancy of ~75% (vs. ~89.5% same-store), offering significant embedded upside. Read-through: Confirms the senior housing acquisition market remains active and off-market deal flow is robust — consistent with VTR's $3B investment target and relationship-driven sourcing strategy.</w:t>
      </w:r>
    </w:p>
    <w:p>
      <w:pPr>
        <w:pStyle w:val="ListBullet"/>
        <w:ind w:left="360" w:hanging="360"/>
      </w:pPr>
      <w:r>
        <w:rPr>
          <w:rFonts w:ascii="Calibri" w:hAnsi="Calibri"/>
          <w:b/>
          <w:color w:val="525866"/>
          <w:sz w:val="22"/>
        </w:rPr>
        <w:t xml:space="preserve">Guidance: </w:t>
      </w:r>
      <w:r>
        <w:rPr>
          <w:rFonts w:ascii="Calibri" w:hAnsi="Calibri"/>
          <w:color w:val="525866"/>
          <w:sz w:val="22"/>
        </w:rPr>
        <w:t xml:space="preserve">WELL raised FY 2026 FFO guidance midpoint by $0.12 to $6.40/share. Updated full-year SHOP NOI growth guidance: </w:t>
      </w:r>
      <w:r>
        <w:rPr>
          <w:rFonts w:ascii="Calibri" w:hAnsi="Calibri"/>
          <w:b/>
          <w:color w:val="525866"/>
          <w:sz w:val="22"/>
        </w:rPr>
        <w:t>18.5%–21.5%</w:t>
      </w:r>
      <w:r>
        <w:rPr>
          <w:rFonts w:ascii="Calibri" w:hAnsi="Calibri"/>
          <w:color w:val="525866"/>
          <w:sz w:val="22"/>
        </w:rPr>
        <w:t>. Read-through: WELL's guidance raise is a strong positive signal for the sector. VTR's 16% SHOP NOI growth guide appears conservative relative to WELL's trajectory, suggesting potential for VTR to beat or raise.</w:t>
      </w:r>
    </w:p>
    <w:p>
      <w:pPr>
        <w:pStyle w:val="Heading3"/>
      </w:pPr>
      <w:r>
        <w:rPr>
          <w:rFonts w:ascii="Calibri" w:hAnsi="Calibri"/>
          <w:b/>
          <w:color w:val="3B4259"/>
          <w:sz w:val="24"/>
        </w:rPr>
        <w:t>Sabra Health Care REIT (SBRA) — Business Update (July 21, 2026)</w:t>
      </w:r>
    </w:p>
    <w:p>
      <w:r>
        <w:rPr>
          <w:rFonts w:ascii="Calibri" w:hAnsi="Calibri"/>
          <w:b/>
          <w:color w:val="525866"/>
          <w:sz w:val="22"/>
        </w:rPr>
        <w:t xml:space="preserve">Comparability to VTR SHOP: </w:t>
      </w:r>
      <w:r>
        <w:rPr>
          <w:rFonts w:ascii="Calibri" w:hAnsi="Calibri"/>
          <w:color w:val="525866"/>
          <w:sz w:val="22"/>
        </w:rPr>
        <w:t>Partial. SBRA's Senior Housing Managed portfolio is directly comparable to VTR SHOP. SBRA's triple-net portfolio is partially comparable to VTR's triple-net segment. SBRA is a smaller, more skilled-nursing-focused peer, so the magnitude of growth rates may differ.</w:t>
      </w:r>
    </w:p>
    <w:p>
      <w:pPr>
        <w:pStyle w:val="ListBullet"/>
        <w:ind w:left="360" w:hanging="360"/>
      </w:pPr>
      <w:r>
        <w:rPr>
          <w:rFonts w:ascii="Calibri" w:hAnsi="Calibri"/>
          <w:b/>
          <w:color w:val="525866"/>
          <w:sz w:val="22"/>
        </w:rPr>
        <w:t xml:space="preserve">Senior Housing Managed NOI Growth (FY 2026 Guidance): </w:t>
      </w:r>
      <w:r>
        <w:rPr>
          <w:rFonts w:ascii="Calibri" w:hAnsi="Calibri"/>
          <w:color w:val="525866"/>
          <w:sz w:val="22"/>
        </w:rPr>
        <w:t>SBRA guided for "</w:t>
      </w:r>
      <w:r>
        <w:rPr>
          <w:rFonts w:ascii="Calibri" w:hAnsi="Calibri"/>
          <w:b/>
          <w:color w:val="525866"/>
          <w:sz w:val="22"/>
        </w:rPr>
        <w:t>average full-year Cash NOI growth for the same-store Senior Housing Managed portfolio in the low-to-mid teens</w:t>
      </w:r>
      <w:r>
        <w:rPr>
          <w:rFonts w:ascii="Calibri" w:hAnsi="Calibri"/>
          <w:color w:val="525866"/>
          <w:sz w:val="22"/>
        </w:rPr>
        <w:t>." Read-through: Confirms double-digit senior housing managed NOI growth is achievable across the sector in 2026, supporting VTR's 16% SHOP NOI growth guide.</w:t>
      </w:r>
    </w:p>
    <w:p>
      <w:pPr>
        <w:pStyle w:val="ListBullet"/>
        <w:ind w:left="360" w:hanging="360"/>
      </w:pPr>
      <w:r>
        <w:rPr>
          <w:rFonts w:ascii="Calibri" w:hAnsi="Calibri"/>
          <w:b/>
          <w:color w:val="525866"/>
          <w:sz w:val="22"/>
        </w:rPr>
        <w:t xml:space="preserve">Triple-Net Portfolio: </w:t>
      </w:r>
      <w:r>
        <w:rPr>
          <w:rFonts w:ascii="Calibri" w:hAnsi="Calibri"/>
          <w:color w:val="525866"/>
          <w:sz w:val="22"/>
        </w:rPr>
        <w:t>SBRA guided for "</w:t>
      </w:r>
      <w:r>
        <w:rPr>
          <w:rFonts w:ascii="Calibri" w:hAnsi="Calibri"/>
          <w:b/>
          <w:color w:val="525866"/>
          <w:sz w:val="22"/>
        </w:rPr>
        <w:t>low-single-digit Cash NOI growth for the triple-net portfolio</w:t>
      </w:r>
      <w:r>
        <w:rPr>
          <w:rFonts w:ascii="Calibri" w:hAnsi="Calibri"/>
          <w:color w:val="525866"/>
          <w:sz w:val="22"/>
        </w:rPr>
        <w:t>." Read-through: Partially comparable to VTR's triple-net segment; consistent with VTR's own triple-net trajectory.</w:t>
      </w:r>
    </w:p>
    <w:p>
      <w:pPr>
        <w:pStyle w:val="ListBullet"/>
        <w:ind w:left="360" w:hanging="360"/>
      </w:pPr>
      <w:r>
        <w:rPr>
          <w:rFonts w:ascii="Calibri" w:hAnsi="Calibri"/>
          <w:b/>
          <w:color w:val="525866"/>
          <w:sz w:val="22"/>
        </w:rPr>
        <w:t xml:space="preserve">Overall Guidance Raise: </w:t>
      </w:r>
      <w:r>
        <w:rPr>
          <w:rFonts w:ascii="Calibri" w:hAnsi="Calibri"/>
          <w:color w:val="525866"/>
          <w:sz w:val="22"/>
        </w:rPr>
        <w:t xml:space="preserve">SBRA raised FY 2026 Normalized FFO guidance to $1.53–$1.55/share, representing </w:t>
      </w:r>
      <w:r>
        <w:rPr>
          <w:rFonts w:ascii="Calibri" w:hAnsi="Calibri"/>
          <w:b/>
          <w:color w:val="525866"/>
          <w:sz w:val="22"/>
        </w:rPr>
        <w:t>+7% YoY growth at midpoint</w:t>
      </w:r>
      <w:r>
        <w:rPr>
          <w:rFonts w:ascii="Calibri" w:hAnsi="Calibri"/>
          <w:color w:val="525866"/>
          <w:sz w:val="22"/>
        </w:rPr>
        <w:t>. Read-through: Sector-wide REIT earnings growth is tracking positively in 2026.</w:t>
      </w:r>
    </w:p>
    <w:p>
      <w:pPr>
        <w:pStyle w:val="ListBullet"/>
        <w:ind w:left="360" w:hanging="360"/>
      </w:pPr>
      <w:r>
        <w:rPr>
          <w:rFonts w:ascii="Calibri" w:hAnsi="Calibri"/>
          <w:b/>
          <w:color w:val="525866"/>
          <w:sz w:val="22"/>
        </w:rPr>
        <w:t xml:space="preserve">Capital Allocation / Balance Sheet: </w:t>
      </w:r>
      <w:r>
        <w:rPr>
          <w:rFonts w:ascii="Calibri" w:hAnsi="Calibri"/>
          <w:color w:val="525866"/>
          <w:sz w:val="22"/>
        </w:rPr>
        <w:t>SBRA reduced Net Debt/EBITDA from 5.0x to 4.8x via the $200M RCA mortgage repayment (closed June 30, 2026). Strategy is to "</w:t>
      </w:r>
      <w:r>
        <w:rPr>
          <w:rFonts w:ascii="Calibri" w:hAnsi="Calibri"/>
          <w:b/>
          <w:color w:val="525866"/>
          <w:sz w:val="22"/>
        </w:rPr>
        <w:t>increase managed senior housing concentration while opportunistically executing on skilled nursing investments</w:t>
      </w:r>
      <w:r>
        <w:rPr>
          <w:rFonts w:ascii="Calibri" w:hAnsi="Calibri"/>
          <w:color w:val="525866"/>
          <w:sz w:val="22"/>
        </w:rPr>
        <w:t>." Read-through: Sector-wide trend of increasing SHOP concentration and balance sheet improvement is consistent with VTR's strategy.</w:t>
      </w:r>
    </w:p>
    <w:p>
      <w:pPr>
        <w:pStyle w:val="ListBullet"/>
        <w:ind w:left="360" w:hanging="360"/>
      </w:pPr>
      <w:r>
        <w:rPr>
          <w:rFonts w:ascii="Calibri" w:hAnsi="Calibri"/>
          <w:b/>
          <w:color w:val="525866"/>
          <w:sz w:val="22"/>
        </w:rPr>
        <w:t xml:space="preserve">Labor: </w:t>
      </w:r>
      <w:r>
        <w:rPr>
          <w:rFonts w:ascii="Calibri" w:hAnsi="Calibri"/>
          <w:color w:val="525866"/>
          <w:sz w:val="22"/>
        </w:rPr>
        <w:t>SBRA cited "increased labor costs and labor shortages" as a risk factor but did not indicate material deterioration. Read-through: Labor remains a watch item but is not a near-term headwind based on SBRA's commentary.</w:t>
      </w:r>
    </w:p>
    <w:p>
      <w:pPr>
        <w:pStyle w:val="Heading3"/>
      </w:pPr>
      <w:r>
        <w:rPr>
          <w:rFonts w:ascii="Calibri" w:hAnsi="Calibri"/>
          <w:b/>
          <w:color w:val="3B4259"/>
          <w:sz w:val="24"/>
        </w:rPr>
        <w:t>American Healthcare REIT (AHR) — Nareit REITweek Conference (June 2, 2026)</w:t>
      </w:r>
    </w:p>
    <w:p>
      <w:r>
        <w:rPr>
          <w:rFonts w:ascii="Calibri" w:hAnsi="Calibri"/>
          <w:b/>
          <w:color w:val="525866"/>
          <w:sz w:val="22"/>
        </w:rPr>
        <w:t xml:space="preserve">Comparability to VTR SHOP: </w:t>
      </w:r>
      <w:r>
        <w:rPr>
          <w:rFonts w:ascii="Calibri" w:hAnsi="Calibri"/>
          <w:color w:val="525866"/>
          <w:sz w:val="22"/>
        </w:rPr>
        <w:t>Direct for AHR's traditional SHOP segment; partial for AHR's Trilogy integrated campus segment (unique model). AHR's commentary on occupancy, rate, and transaction environment is directly applicable to VTR SHOP.</w:t>
      </w:r>
    </w:p>
    <w:p>
      <w:pPr>
        <w:pStyle w:val="ListBullet"/>
        <w:ind w:left="360" w:hanging="360"/>
      </w:pPr>
      <w:r>
        <w:rPr>
          <w:rFonts w:ascii="Calibri" w:hAnsi="Calibri"/>
          <w:b/>
          <w:color w:val="525866"/>
          <w:sz w:val="22"/>
        </w:rPr>
        <w:t xml:space="preserve">Occupancy: </w:t>
      </w:r>
      <w:r>
        <w:rPr>
          <w:rFonts w:ascii="Calibri" w:hAnsi="Calibri"/>
          <w:color w:val="525866"/>
          <w:sz w:val="22"/>
        </w:rPr>
        <w:t xml:space="preserve">AHR's Trilogy segment reported same-store occupancy of </w:t>
      </w:r>
      <w:r>
        <w:rPr>
          <w:rFonts w:ascii="Calibri" w:hAnsi="Calibri"/>
          <w:b/>
          <w:color w:val="525866"/>
          <w:sz w:val="22"/>
        </w:rPr>
        <w:t>over 91%</w:t>
      </w:r>
      <w:r>
        <w:rPr>
          <w:rFonts w:ascii="Calibri" w:hAnsi="Calibri"/>
          <w:color w:val="525866"/>
          <w:sz w:val="22"/>
        </w:rPr>
        <w:t>. AHR noted that recently acquired assets at ~74% occupancy are expected to reach 95–96% with the right operator. Management flagged the key question for the sector: "</w:t>
      </w:r>
      <w:r>
        <w:rPr>
          <w:rFonts w:ascii="Calibri" w:hAnsi="Calibri"/>
          <w:b/>
          <w:color w:val="525866"/>
          <w:sz w:val="22"/>
        </w:rPr>
        <w:t>as we start to get functionally full in assets across senior housing, the question necessarily becomes, how do you keep growing NOI when your occupancy is 100%?</w:t>
      </w:r>
      <w:r>
        <w:rPr>
          <w:rFonts w:ascii="Calibri" w:hAnsi="Calibri"/>
          <w:color w:val="525866"/>
          <w:sz w:val="22"/>
        </w:rPr>
        <w:t>" Read-through: Confirms high occupancy levels across the sector and validates VTR's dynamic pricing strategy as the primary NOI growth driver at high occupancy.</w:t>
      </w:r>
    </w:p>
    <w:p>
      <w:pPr>
        <w:pStyle w:val="ListBullet"/>
        <w:ind w:left="360" w:hanging="360"/>
      </w:pPr>
      <w:r>
        <w:rPr>
          <w:rFonts w:ascii="Calibri" w:hAnsi="Calibri"/>
          <w:b/>
          <w:color w:val="525866"/>
          <w:sz w:val="22"/>
        </w:rPr>
        <w:t xml:space="preserve">Rate / RevPOR: </w:t>
      </w:r>
      <w:r>
        <w:rPr>
          <w:rFonts w:ascii="Calibri" w:hAnsi="Calibri"/>
          <w:color w:val="525866"/>
          <w:sz w:val="22"/>
        </w:rPr>
        <w:t>AHR highlighted dynamic pricing as the key revenue management tool at high occupancy: "</w:t>
      </w:r>
      <w:r>
        <w:rPr>
          <w:rFonts w:ascii="Calibri" w:hAnsi="Calibri"/>
          <w:b/>
          <w:color w:val="525866"/>
          <w:sz w:val="22"/>
        </w:rPr>
        <w:t>adjusting street rates, turning off lease incentives, managing community and move-in fees all at the same time, all dynamically while occupancy is going up and down</w:t>
      </w:r>
      <w:r>
        <w:rPr>
          <w:rFonts w:ascii="Calibri" w:hAnsi="Calibri"/>
          <w:color w:val="525866"/>
          <w:sz w:val="22"/>
        </w:rPr>
        <w:t>." AHR is test-piloting a proprietary revenue management solution with two SHOP operators. Read-through: Validates VTR's Ventas OI platform and dynamic pricing strategy as a competitive differentiator.</w:t>
      </w:r>
    </w:p>
    <w:p>
      <w:pPr>
        <w:pStyle w:val="ListBullet"/>
        <w:ind w:left="360" w:hanging="360"/>
      </w:pPr>
      <w:r>
        <w:rPr>
          <w:rFonts w:ascii="Calibri" w:hAnsi="Calibri"/>
          <w:b/>
          <w:color w:val="525866"/>
          <w:sz w:val="22"/>
        </w:rPr>
        <w:t xml:space="preserve">Transaction Environment: </w:t>
      </w:r>
      <w:r>
        <w:rPr>
          <w:rFonts w:ascii="Calibri" w:hAnsi="Calibri"/>
          <w:color w:val="525866"/>
          <w:sz w:val="22"/>
        </w:rPr>
        <w:t>AHR's investment pipeline grew to "</w:t>
      </w:r>
      <w:r>
        <w:rPr>
          <w:rFonts w:ascii="Calibri" w:hAnsi="Calibri"/>
          <w:b/>
          <w:color w:val="525866"/>
          <w:sz w:val="22"/>
        </w:rPr>
        <w:t>well over $1 billion in awarded deals</w:t>
      </w:r>
      <w:r>
        <w:rPr>
          <w:rFonts w:ascii="Calibri" w:hAnsi="Calibri"/>
          <w:color w:val="525866"/>
          <w:sz w:val="22"/>
        </w:rPr>
        <w:t>" (up from $650M at Q1). 100% of YTD acquisitions and pipeline are expansions with existing operators. Management characterized the market as being at the "</w:t>
      </w:r>
      <w:r>
        <w:rPr>
          <w:rFonts w:ascii="Calibri" w:hAnsi="Calibri"/>
          <w:b/>
          <w:color w:val="525866"/>
          <w:sz w:val="22"/>
        </w:rPr>
        <w:t>front end or early innings of the growth and demand cycle</w:t>
      </w:r>
      <w:r>
        <w:rPr>
          <w:rFonts w:ascii="Calibri" w:hAnsi="Calibri"/>
          <w:color w:val="525866"/>
          <w:sz w:val="22"/>
        </w:rPr>
        <w:t>" with "insatiable demand meeting very low, radically low and muted supply." Read-through: Confirms the favorable supply/demand backdrop for senior housing acquisitions that underpins VTR's $3B investment target.</w:t>
      </w:r>
    </w:p>
    <w:p>
      <w:pPr>
        <w:pStyle w:val="ListBullet"/>
        <w:ind w:left="360" w:hanging="360"/>
      </w:pPr>
      <w:r>
        <w:rPr>
          <w:rFonts w:ascii="Calibri" w:hAnsi="Calibri"/>
          <w:b/>
          <w:color w:val="525866"/>
          <w:sz w:val="22"/>
        </w:rPr>
        <w:t xml:space="preserve">Guidance: </w:t>
      </w:r>
      <w:r>
        <w:rPr>
          <w:rFonts w:ascii="Calibri" w:hAnsi="Calibri"/>
          <w:color w:val="525866"/>
          <w:sz w:val="22"/>
        </w:rPr>
        <w:t>AHR guided for "</w:t>
      </w:r>
      <w:r>
        <w:rPr>
          <w:rFonts w:ascii="Calibri" w:hAnsi="Calibri"/>
          <w:b/>
          <w:color w:val="525866"/>
          <w:sz w:val="22"/>
        </w:rPr>
        <w:t>very nice same-store NOI growth in 2026 and 2027</w:t>
      </w:r>
      <w:r>
        <w:rPr>
          <w:rFonts w:ascii="Calibri" w:hAnsi="Calibri"/>
          <w:color w:val="525866"/>
          <w:sz w:val="22"/>
        </w:rPr>
        <w:t>" for its SHOP portfolio, framing the sector as a "multi-year setup for continued outsized growth." Read-through: Confirms the multi-year duration of the SHOP growth thesis, supporting VTR's long-term investment case.</w:t>
      </w:r>
    </w:p>
    <w:p>
      <w:pPr>
        <w:pStyle w:val="ListBullet"/>
        <w:ind w:left="360" w:hanging="360"/>
      </w:pPr>
      <w:r>
        <w:rPr>
          <w:rFonts w:ascii="Calibri" w:hAnsi="Calibri"/>
          <w:b/>
          <w:color w:val="525866"/>
          <w:sz w:val="22"/>
        </w:rPr>
        <w:t xml:space="preserve">Labor / Expenses: </w:t>
      </w:r>
      <w:r>
        <w:rPr>
          <w:rFonts w:ascii="Calibri" w:hAnsi="Calibri"/>
          <w:color w:val="525866"/>
          <w:sz w:val="22"/>
        </w:rPr>
        <w:t>AHR noted that direct care hours are critical in higher-acuity settings, limiting incremental margin improvement vs. independent living. AHR is leveraging Trilogy's expertise to improve employee training and operational efficiency across SHOP operators. Read-through: Partially comparable; VTR's SHOP mix includes both AL and IL, with IL offering higher operating leverage.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2026 earnings date is limited to one open-market buy by a Director and one small planned sale by another Director. The open-market purchase by Director Michael Embler (2,500 shares at ~$82/share on June 3) is a modestly positive signal. No clustered selling or unusual activity; overall insider posture is neutral-to-constructive.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Michael J. Embler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2,500</w:t>
            </w:r>
          </w:p>
        </w:tc>
        <w:tc>
          <w:tcPr>
            <w:tcW w:type="dxa" w:w="1234"/>
          </w:tcPr>
          <w:p>
            <w:r>
              <w:rPr>
                <w:rFonts w:ascii="Calibri" w:hAnsi="Calibri"/>
                <w:sz w:val="22"/>
              </w:rPr>
              <w:t>~$205,000</w:t>
            </w:r>
          </w:p>
        </w:tc>
        <w:tc>
          <w:tcPr>
            <w:tcW w:type="dxa" w:w="1234"/>
          </w:tcPr>
          <w:p>
            <w:r>
              <w:rPr>
                <w:rFonts w:ascii="Calibri" w:hAnsi="Calibri"/>
                <w:sz w:val="22"/>
              </w:rPr>
              <w:t>June 3, 2026</w:t>
            </w:r>
          </w:p>
        </w:tc>
        <w:tc>
          <w:tcPr>
            <w:tcW w:type="dxa" w:w="1234"/>
          </w:tcPr>
          <w:p>
            <w:r>
              <w:rPr>
                <w:rFonts w:ascii="Calibri" w:hAnsi="Calibri"/>
                <w:sz w:val="22"/>
              </w:rPr>
              <w:t>Discretionary open-market purchase at ~$82/share. Constructive signal — Director buying near post-Q1 levels.</w:t>
            </w:r>
          </w:p>
        </w:tc>
      </w:tr>
      <w:tr>
        <w:tc>
          <w:tcPr>
            <w:tcW w:type="dxa" w:w="1234"/>
          </w:tcPr>
          <w:p>
            <w:r>
              <w:rPr>
                <w:rFonts w:ascii="Calibri" w:hAnsi="Calibri"/>
                <w:sz w:val="22"/>
              </w:rPr>
              <w:t>Walter C. Rakowich</w:t>
            </w:r>
          </w:p>
        </w:tc>
        <w:tc>
          <w:tcPr>
            <w:tcW w:type="dxa" w:w="1234"/>
          </w:tcPr>
          <w:p>
            <w:r>
              <w:rPr>
                <w:rFonts w:ascii="Calibri" w:hAnsi="Calibri"/>
                <w:sz w:val="22"/>
              </w:rPr>
              <w:t>Director</w:t>
            </w:r>
          </w:p>
        </w:tc>
        <w:tc>
          <w:tcPr>
            <w:tcW w:type="dxa" w:w="1234"/>
          </w:tcPr>
          <w:p>
            <w:r>
              <w:rPr>
                <w:rFonts w:ascii="Calibri" w:hAnsi="Calibri"/>
                <w:b/>
                <w:color w:val="E5484D"/>
                <w:sz w:val="22"/>
              </w:rPr>
              <w:t>Open Market Sale (10b5-1 Planned)</w:t>
            </w:r>
          </w:p>
        </w:tc>
        <w:tc>
          <w:tcPr>
            <w:tcW w:type="dxa" w:w="1234"/>
          </w:tcPr>
          <w:p>
            <w:r>
              <w:rPr>
                <w:rFonts w:ascii="Calibri" w:hAnsi="Calibri"/>
                <w:sz w:val="22"/>
              </w:rPr>
              <w:t>1,152</w:t>
            </w:r>
          </w:p>
        </w:tc>
        <w:tc>
          <w:tcPr>
            <w:tcW w:type="dxa" w:w="1234"/>
          </w:tcPr>
          <w:p>
            <w:r>
              <w:rPr>
                <w:rFonts w:ascii="Calibri" w:hAnsi="Calibri"/>
                <w:sz w:val="22"/>
              </w:rPr>
              <w:t>~$100,000</w:t>
            </w:r>
          </w:p>
        </w:tc>
        <w:tc>
          <w:tcPr>
            <w:tcW w:type="dxa" w:w="1234"/>
          </w:tcPr>
          <w:p>
            <w:r>
              <w:rPr>
                <w:rFonts w:ascii="Calibri" w:hAnsi="Calibri"/>
                <w:sz w:val="22"/>
              </w:rPr>
              <w:t>May 14, 2026</w:t>
            </w:r>
          </w:p>
        </w:tc>
        <w:tc>
          <w:tcPr>
            <w:tcW w:type="dxa" w:w="1234"/>
          </w:tcPr>
          <w:p>
            <w:r>
              <w:rPr>
                <w:rFonts w:ascii="Calibri" w:hAnsi="Calibri"/>
                <w:sz w:val="22"/>
              </w:rPr>
              <w:t>Pre-planned 10b5-1 sale. Small size relative to holdings (28,349 shares post-sale). Routine; not a discretionary signal.</w:t>
            </w:r>
          </w:p>
        </w:tc>
      </w:tr>
    </w:tbl>
    <w:p>
      <w:r>
        <w:rPr>
          <w:rFonts w:ascii="Calibri" w:hAnsi="Calibri"/>
          <w:i/>
          <w:color w:val="525866"/>
          <w:sz w:val="22"/>
        </w:rPr>
        <w:t xml:space="preserve">Source: SEC Form 4 Filings (Insider Transaction Data). </w:t>
      </w:r>
      <w:r>
        <w:rPr>
          <w:rFonts w:ascii="Calibri" w:hAnsi="Calibri"/>
          <w:color w:val="525866"/>
          <w:sz w:val="22"/>
        </w:rPr>
        <w:t>Window: April 27, 2026 – July 28, 2026 (since Q1 2026 earnings). Open-market transactions (Form 4 codes P/S) only. No executive-level (CEO/CFO/President) transactions were filed in this window. The absence of executive selling is a neutral-to-positive signal given the stock's ~16% appreciation since the Q1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