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c-earnings-predictions--2026-07-29"/>
    <w:p>
      <w:pPr>
        <w:pStyle w:val="Heading1"/>
      </w:pPr>
      <w:r>
        <w:t xml:space="preserve">WEC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0.80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1.96B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Weather-normal retail electric deliveries YoY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~+1.5% vs. cons ~+1.4%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5.51</m:t>
              </m:r>
              <m:r>
                <m:rPr>
                  <m:sty m:val="p"/>
                </m:rPr>
                <m:t>–</m:t>
              </m:r>
            </m:oMath>
            <w:r>
              <w:t xml:space="preserve">5.61 (mid</w:t>
            </w:r>
            <w:r>
              <w:t xml:space="preserve"> </w:t>
            </w:r>
            <m:oMath>
              <m:r>
                <m:t>5.56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5.57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EPS CAGR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~7–8% vs. cons ~7.5% (2026–2030)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5-yr capital plan / data-center capex signal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37.5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h</m:t>
              </m:r>
              <m:r>
                <m:t>o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t>e</m:t>
              </m:r>
              <m:r>
                <m:t>f</m:t>
              </m:r>
              <m:r>
                <m:t>e</m:t>
              </m:r>
              <m:r>
                <m:t>r</m:t>
              </m:r>
              <m:r>
                <m:t>r</m:t>
              </m:r>
              <m:r>
                <m:t>e</m:t>
              </m:r>
              <m:r>
                <m:t>d</m:t>
              </m:r>
              <m:r>
                <m:t>t</m:t>
              </m:r>
              <m:r>
                <m:t>o</m:t>
              </m:r>
              <m:r>
                <m:t>Q</m:t>
              </m:r>
              <m:r>
                <m:t>3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38B (2026–2030 plan)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Wisconsin VLC tariff written order confirmation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ROE ~10.48–10.98%, 57% equity vs. cons ~10.7% ROE assumption (final order H2'26)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-0.3% (STABILIZE)</w:t>
            </w:r>
          </w:p>
        </w:tc>
        <w:tc>
          <w:tcPr/>
          <w:p>
            <w:pPr>
              <w:pStyle w:val="Compact"/>
            </w:pPr>
            <w:r>
              <w:t xml:space="preserve">Low-beta regulated utility with a seasonally small Q2 print and a reaffirmed FY guide leaves out-period estimates essentially unchanged — no revision impulse in either direction. The real catalyst (fall capital-plan upsize + hyperscaler announcements) is explicitly deferred to the Q3 call, so absent a weather-driven surprise the residual drifts near flat and mean-reverts around the sector; slightly soft pre-print sentiment caps upside.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2026-07-29T01:09:06Z</dcterms:created>
  <dcterms:modified xsi:type="dcterms:W3CDTF">2026-07-29T01:09:06Z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