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d70f5138796599720593459f51442eed734d9e6"/>
    <w:p>
      <w:pPr>
        <w:pStyle w:val="Heading1"/>
      </w:pPr>
      <w:r>
        <w:t xml:space="preserve">WEC Energy Group (WEC) — Q2 2026 Earnings Preview</w:t>
      </w:r>
    </w:p>
    <w:bookmarkStart w:id="9" w:name="X5323cdc9abea37c9f53daa252d6942172832499"/>
    <w:p>
      <w:pPr>
        <w:pStyle w:val="Heading3"/>
      </w:pPr>
      <w:r>
        <w:t xml:space="preserve">Reports before market open, Wednesday July 29, 2026 | Conference call 1:00 p.m. CT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WEC heads into Q2 as a "steady execution" regulated-utility story that has quietly turned into one of the more compelling data-center growth names in the group. Q2 itself is seasonally the smallest quarter and unlikely to move the stock much on the print — the real focus is</w:t>
      </w:r>
      <w:r>
        <w:t xml:space="preserve"> </w:t>
      </w:r>
      <w:r>
        <w:rPr>
          <w:b/>
          <w:bCs/>
        </w:rPr>
        <w:t xml:space="preserve">management's commentary on data-center/VLC momentum, the pending capital-plan refresh, and rate-case progress</w:t>
      </w:r>
      <w:r>
        <w:t xml:space="preserve">, several of which they have explicitly teed up for the Q3 call.</w:t>
      </w:r>
    </w:p>
    <w:p>
      <w:r>
        <w:pict>
          <v:rect style="width:0;height:1.5pt" o:hralign="center" o:hrstd="t" o:hr="t"/>
        </w:pict>
      </w:r>
    </w:p>
    <w:bookmarkEnd w:id="10"/>
    <w:bookmarkStart w:id="18" w:name="what-actually-matters-this-quarter"/>
    <w:p>
      <w:pPr>
        <w:pStyle w:val="Heading2"/>
      </w:pPr>
      <w:r>
        <w:t xml:space="preserve">What actually matters this quarter</w:t>
      </w:r>
    </w:p>
    <w:bookmarkStart w:id="11" w:name="Xed70247c242105a58085ea0b8a7cbfcef03abbf"/>
    <w:p>
      <w:pPr>
        <w:pStyle w:val="Heading3"/>
      </w:pPr>
      <w:r>
        <w:t xml:space="preserve">1. The Q2 number is a low-stakes checkpoint</w:t>
      </w:r>
    </w:p>
    <w:p>
      <w:pPr>
        <w:pStyle w:val="Compact"/>
        <w:numPr>
          <w:ilvl w:val="0"/>
          <w:numId w:val="1001"/>
        </w:numPr>
      </w:pPr>
      <w:r>
        <w:t xml:space="preserve">Management guided Q2 2026 to</w:t>
      </w:r>
      <w:r>
        <w:t xml:space="preserve"> </w:t>
      </w:r>
      <m:oMath>
        <m:r>
          <m:t>0.76</m:t>
        </m:r>
        <m:r>
          <m:rPr>
            <m:sty m:val="p"/>
          </m:rPr>
          <m:t>–</m:t>
        </m:r>
      </m:oMath>
      <w:r>
        <w:rPr>
          <w:b/>
          <w:bCs/>
        </w:rPr>
        <w:t xml:space="preserve">0.82 per share</w:t>
      </w:r>
      <w:r>
        <w:t xml:space="preserve"> </w:t>
      </w:r>
      <w:r>
        <w:t xml:space="preserve">on the Q1 call, a range that already incorporates April weather.</w:t>
      </w:r>
    </w:p>
    <w:p>
      <w:pPr>
        <w:pStyle w:val="Compact"/>
        <w:numPr>
          <w:ilvl w:val="0"/>
          <w:numId w:val="1001"/>
        </w:numPr>
      </w:pPr>
      <w:r>
        <w:t xml:space="preserve">For context, WEC earned</w:t>
      </w:r>
      <w:r>
        <w:t xml:space="preserve"> </w:t>
      </w:r>
      <w:r>
        <w:rPr>
          <w:b/>
          <w:bCs/>
        </w:rPr>
        <w:t xml:space="preserve">$0.76 diluted in Q2 2025</w:t>
      </w:r>
      <w:r>
        <w:t xml:space="preserve"> </w:t>
      </w:r>
      <w:r>
        <w:t xml:space="preserve">(up from $0.67 in Q2 2024), so the guide implies roughly flat-to-mid-single-digit YoY growth. Q2 is the seasonal trough, so the absolute EPS is small and swings on summer weather.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Weather is the swing factor.</w:t>
      </w:r>
      <w:r>
        <w:t xml:space="preserve"> </w:t>
      </w:r>
      <w:r>
        <w:t xml:space="preserve">Last year a "warm start to summer" drove a strong Q2. A hot June/July this year would push toward/above the top of the range; mild weather does the opposite. Don't over-read a beat or miss here.</w:t>
      </w:r>
    </w:p>
    <w:p>
      <w:pPr>
        <w:pStyle w:val="Compact"/>
        <w:numPr>
          <w:ilvl w:val="0"/>
          <w:numId w:val="1001"/>
        </w:numPr>
      </w:pPr>
      <w:r>
        <w:t xml:space="preserve">Q1 2026 came in at</w:t>
      </w:r>
      <w:r>
        <w:t xml:space="preserve"> </w:t>
      </w:r>
      <m:oMath>
        <m:r>
          <m:t>2.45</m:t>
        </m:r>
        <m:r>
          <m:rPr>
            <m:sty m:val="p"/>
          </m:rPr>
          <m:t>(</m:t>
        </m:r>
        <m:r>
          <m:rPr>
            <m:sty m:val="p"/>
          </m:rPr>
          <m:t>+</m:t>
        </m:r>
      </m:oMath>
      <w:r>
        <w:rPr>
          <w:b/>
          <w:bCs/>
        </w:rPr>
        <w:t xml:space="preserve">0.18 YoY)</w:t>
      </w:r>
      <w:r>
        <w:t xml:space="preserve">, a solid start — but note ~$0.05 of that was O&amp;M timing/asset-sale favorability that management said</w:t>
      </w:r>
      <w:r>
        <w:t xml:space="preserve"> </w:t>
      </w:r>
      <w:r>
        <w:rPr>
          <w:b/>
          <w:bCs/>
        </w:rPr>
        <w:t xml:space="preserve">reverses over the balance of the year</w:t>
      </w:r>
      <w:r>
        <w:t xml:space="preserve">. Watch whether that reversal shows up in Q2.</w:t>
      </w:r>
    </w:p>
    <w:bookmarkEnd w:id="11"/>
    <w:bookmarkStart w:id="12" w:name="X5c1ab65bd2f35ad6cbff43b04c3d35055d655e5"/>
    <w:p>
      <w:pPr>
        <w:pStyle w:val="Heading3"/>
      </w:pPr>
      <w:r>
        <w:t xml:space="preserve">2. Full-year guidance — reaffirm vs. raise</w:t>
      </w:r>
    </w:p>
    <w:p>
      <w:pPr>
        <w:pStyle w:val="Compact"/>
        <w:numPr>
          <w:ilvl w:val="0"/>
          <w:numId w:val="1002"/>
        </w:numPr>
      </w:pPr>
      <w:r>
        <w:t xml:space="preserve">2026 guidance stands at</w:t>
      </w:r>
      <w:r>
        <w:t xml:space="preserve"> </w:t>
      </w:r>
      <m:oMath>
        <m:r>
          <m:t>5.51</m:t>
        </m:r>
        <m:r>
          <m:rPr>
            <m:sty m:val="p"/>
          </m:rPr>
          <m:t>–</m:t>
        </m:r>
      </m:oMath>
      <w:r>
        <w:rPr>
          <w:b/>
          <w:bCs/>
        </w:rPr>
        <w:t xml:space="preserve">5.61</w:t>
      </w:r>
      <w:r>
        <w:t xml:space="preserve"> </w:t>
      </w:r>
      <w:r>
        <w:t xml:space="preserve">(midpoint $5.56), assuming normal weather. The base case is a reaffirmation.</w:t>
      </w:r>
    </w:p>
    <w:p>
      <w:pPr>
        <w:pStyle w:val="Compact"/>
        <w:numPr>
          <w:ilvl w:val="0"/>
          <w:numId w:val="1002"/>
        </w:numPr>
      </w:pPr>
      <w:r>
        <w:t xml:space="preserve">WEC continues to target</w:t>
      </w:r>
      <w:r>
        <w:t xml:space="preserve"> </w:t>
      </w:r>
      <w:r>
        <w:rPr>
          <w:b/>
          <w:bCs/>
        </w:rPr>
        <w:t xml:space="preserve">7%–8% long-term EPS CAGR (2026–2030)</w:t>
      </w:r>
      <w:r>
        <w:t xml:space="preserve"> </w:t>
      </w:r>
      <w:r>
        <w:t xml:space="preserve">off the 2025 adjusted midpoint,</w:t>
      </w:r>
      <w:r>
        <w:t xml:space="preserve"> </w:t>
      </w:r>
      <w:r>
        <w:rPr>
          <w:b/>
          <w:bCs/>
        </w:rPr>
        <w:t xml:space="preserve">accelerating to the upper half of that range starting in 2028</w:t>
      </w:r>
      <w:r>
        <w:t xml:space="preserve">. Any language nuance on 2028+ acceleration is worth noting.</w:t>
      </w:r>
    </w:p>
    <w:bookmarkEnd w:id="12"/>
    <w:bookmarkStart w:id="13" w:name="X52f8c72e5ab65336c031cd9334f8981ebbabe71"/>
    <w:p>
      <w:pPr>
        <w:pStyle w:val="Heading3"/>
      </w:pPr>
      <w:r>
        <w:t xml:space="preserve">3. Data centers / VLC tariff — the core thesis</w:t>
      </w:r>
    </w:p>
    <w:p>
      <w:pPr>
        <w:pStyle w:val="FirstParagraph"/>
      </w:pPr>
      <w:r>
        <w:t xml:space="preserve">This is where the incremental value is, and management has been actively guiding expectations: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Wisconsin VLC (very large customer) tariff</w:t>
      </w:r>
      <w:r>
        <w:t xml:space="preserve"> </w:t>
      </w:r>
      <w:r>
        <w:t xml:space="preserve">received verbal PSC approval on April 24 (ROE range</w:t>
      </w:r>
      <w:r>
        <w:t xml:space="preserve"> </w:t>
      </w:r>
      <w:r>
        <w:rPr>
          <w:b/>
          <w:bCs/>
        </w:rPr>
        <w:t xml:space="preserve">10.48%–10.98%</w:t>
      </w:r>
      <w:r>
        <w:t xml:space="preserve">,</w:t>
      </w:r>
      <w:r>
        <w:t xml:space="preserve"> </w:t>
      </w:r>
      <w:r>
        <w:rPr>
          <w:b/>
          <w:bCs/>
        </w:rPr>
        <w:t xml:space="preserve">57% equity ratio</w:t>
      </w:r>
      <w:r>
        <w:t xml:space="preserve">); the</w:t>
      </w:r>
      <w:r>
        <w:t xml:space="preserve"> </w:t>
      </w:r>
      <w:r>
        <w:rPr>
          <w:b/>
          <w:bCs/>
        </w:rPr>
        <w:t xml:space="preserve">written order was expected "in a few weeks."</w:t>
      </w:r>
      <w:r>
        <w:t xml:space="preserve"> </w:t>
      </w:r>
      <w:r>
        <w:t xml:space="preserve">Confirmation that the final written order is in hand — and whether terms match the verbal decision — is a key de-risking item.</w:t>
      </w:r>
    </w:p>
    <w:p>
      <w:pPr>
        <w:pStyle w:val="Compact"/>
        <w:numPr>
          <w:ilvl w:val="0"/>
          <w:numId w:val="1003"/>
        </w:numPr>
      </w:pPr>
      <w:r>
        <w:t xml:space="preserve">The threshold was lowered to 100 MW (from WEC's proposed 500 MW), which management framed as neutral-to-slightly-positive (opens the door to smaller data centers; no current customers affected).</w:t>
      </w:r>
    </w:p>
    <w:p>
      <w:pPr>
        <w:pStyle w:val="Compact"/>
        <w:numPr>
          <w:ilvl w:val="0"/>
          <w:numId w:val="1003"/>
        </w:numPr>
      </w:pPr>
      <w:r>
        <w:t xml:space="preserve">Current pipeline:</w:t>
      </w:r>
      <w:r>
        <w:t xml:space="preserve"> </w:t>
      </w:r>
      <w:r>
        <w:rPr>
          <w:b/>
          <w:bCs/>
        </w:rPr>
        <w:t xml:space="preserve">~3.9 GW in the 5-year plan</w:t>
      </w:r>
      <w:r>
        <w:t xml:space="preserve"> </w:t>
      </w:r>
      <w:r>
        <w:t xml:space="preserve">(Microsoft ~2.6 GW in the I-94/Mount Pleasant corridor; Vantage/Oracle ~1.3 GW near Port Washington). Management sees the already-permitted acreage supporting</w:t>
      </w:r>
      <w:r>
        <w:t xml:space="preserve"> </w:t>
      </w:r>
      <w:r>
        <w:rPr>
          <w:b/>
          <w:bCs/>
        </w:rPr>
        <w:t xml:space="preserve">another 4–5 GW of upside</w:t>
      </w:r>
      <w:r>
        <w:t xml:space="preserve">, with the Vantage site alone able to reach 3.5 GW over time.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Key catalyst is the Q3 call, not this one.</w:t>
      </w:r>
      <w:r>
        <w:t xml:space="preserve"> </w:t>
      </w:r>
      <w:r>
        <w:t xml:space="preserve">CEO Scott Lauber explicitly said he expects</w:t>
      </w:r>
      <w:r>
        <w:t xml:space="preserve"> </w:t>
      </w:r>
      <w:r>
        <w:rPr>
          <w:b/>
          <w:bCs/>
        </w:rPr>
        <w:t xml:space="preserve">an incremental capital add in the 5-year plan and "hopefully another announcement"</w:t>
      </w:r>
      <w:r>
        <w:t xml:space="preserve"> </w:t>
      </w:r>
      <w:r>
        <w:t xml:space="preserve">on the Q3 call. So on Q2, listen for</w:t>
      </w:r>
      <w:r>
        <w:t xml:space="preserve"> </w:t>
      </w:r>
      <w:r>
        <w:rPr>
          <w:i/>
          <w:iCs/>
        </w:rPr>
        <w:t xml:space="preserve">directional</w:t>
      </w:r>
      <w:r>
        <w:t xml:space="preserve"> </w:t>
      </w:r>
      <w:r>
        <w:t xml:space="preserve">confidence on new hyperscaler discussions rather than hard numbers.</w:t>
      </w:r>
    </w:p>
    <w:bookmarkEnd w:id="13"/>
    <w:bookmarkStart w:id="14" w:name="X87355aa2aab4be1821890165a5df99e707bfa52"/>
    <w:p>
      <w:pPr>
        <w:pStyle w:val="Heading3"/>
      </w:pPr>
      <w:r>
        <w:t xml:space="preserve">4. Capital plan refresh &amp; Point Beach</w:t>
      </w:r>
    </w:p>
    <w:p>
      <w:pPr>
        <w:pStyle w:val="Compact"/>
        <w:numPr>
          <w:ilvl w:val="0"/>
          <w:numId w:val="1004"/>
        </w:numPr>
      </w:pPr>
      <w:r>
        <w:t xml:space="preserve">Current 5-year plan is</w:t>
      </w:r>
      <w:r>
        <w:t xml:space="preserve"> </w:t>
      </w:r>
      <w:r>
        <w:rPr>
          <w:b/>
          <w:bCs/>
        </w:rPr>
        <w:t xml:space="preserve">$37.5 billion</w:t>
      </w:r>
      <w:r>
        <w:t xml:space="preserve">; ~15% of the asset base is expected to be VLC-attributable by 2030.</w:t>
      </w:r>
    </w:p>
    <w:p>
      <w:pPr>
        <w:pStyle w:val="Compact"/>
        <w:numPr>
          <w:ilvl w:val="0"/>
          <w:numId w:val="100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fall capital-plan update</w:t>
      </w:r>
      <w:r>
        <w:t xml:space="preserve"> </w:t>
      </w:r>
      <w:r>
        <w:t xml:space="preserve">is the next big event. Two likely upsizing sources: (a) additional data-center generation/transmission, and (b)</w:t>
      </w:r>
      <w:r>
        <w:t xml:space="preserve"> </w:t>
      </w:r>
      <w:r>
        <w:rPr>
          <w:b/>
          <w:bCs/>
        </w:rPr>
        <w:t xml:space="preserve">Point Beach replacement</w:t>
      </w:r>
      <w:r>
        <w:t xml:space="preserve"> </w:t>
      </w:r>
      <w:r>
        <w:t xml:space="preserve">— the nuclear PPA rolls off in 2030 (unit 1) and 2033 (unit 2). Management is leaning toward replacement (gas/combined-cycle plus renewables) at a rule-of-thumb</w:t>
      </w:r>
      <w:r>
        <w:t xml:space="preserve"> </w:t>
      </w:r>
      <m:oMath>
        <m:r>
          <m:t>2.0</m:t>
        </m:r>
        <m:r>
          <m:rPr>
            <m:sty m:val="p"/>
          </m:rPr>
          <m:t>–</m:t>
        </m:r>
      </m:oMath>
      <w:r>
        <w:rPr>
          <w:b/>
          <w:bCs/>
        </w:rPr>
        <w:t xml:space="preserve">2.5B per GW</w:t>
      </w:r>
      <w:r>
        <w:t xml:space="preserve">, with the 2030 unit likely in the upcoming plan and long-lead equipment for 2033 possibly added too.</w:t>
      </w:r>
    </w:p>
    <w:bookmarkEnd w:id="14"/>
    <w:bookmarkStart w:id="15" w:name="X97daec06a1969b0982e02ff79b5e3f26e3f7d6b"/>
    <w:p>
      <w:pPr>
        <w:pStyle w:val="Heading3"/>
      </w:pPr>
      <w:r>
        <w:t xml:space="preserve">5. Rate cases — multiple open dockets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Wisconsin GRC:</w:t>
      </w:r>
      <w:r>
        <w:t xml:space="preserve"> </w:t>
      </w:r>
      <w:r>
        <w:t xml:space="preserve">Filed April 1 for forward test years</w:t>
      </w:r>
      <w:r>
        <w:t xml:space="preserve"> </w:t>
      </w:r>
      <w:r>
        <w:rPr>
          <w:b/>
          <w:bCs/>
        </w:rPr>
        <w:t xml:space="preserve">2027 &amp; 2028</w:t>
      </w:r>
      <w:r>
        <w:t xml:space="preserve"> </w:t>
      </w:r>
      <w:r>
        <w:t xml:space="preserve">(electric base rate increases of ~</w:t>
      </w:r>
      <w:r>
        <w:rPr>
          <w:b/>
          <w:bCs/>
        </w:rPr>
        <w:t xml:space="preserve">4.7% / 4.5%</w:t>
      </w:r>
      <w:r>
        <w:t xml:space="preserve">). Orders expected by year-end; new rates effective Jan 2027/2028. Management flagged the staff audit lands this summer and left the door open to a</w:t>
      </w:r>
      <w:r>
        <w:t xml:space="preserve"> </w:t>
      </w:r>
      <w:r>
        <w:rPr>
          <w:b/>
          <w:bCs/>
        </w:rPr>
        <w:t xml:space="preserve">settlement</w:t>
      </w:r>
      <w:r>
        <w:t xml:space="preserve"> </w:t>
      </w:r>
      <w:r>
        <w:t xml:space="preserve">(the commission settled with other WI utilities last year). Any procedural-schedule or audit color is relevant.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Illinois:</w:t>
      </w:r>
      <w:r>
        <w:t xml:space="preserve"> </w:t>
      </w:r>
      <w:r>
        <w:t xml:space="preserve">Filed a</w:t>
      </w:r>
      <w:r>
        <w:t xml:space="preserve"> </w:t>
      </w:r>
      <w:r>
        <w:rPr>
          <w:b/>
          <w:bCs/>
        </w:rPr>
        <w:t xml:space="preserve">settlement on the legacy QIP/uncollectibles riders</w:t>
      </w:r>
      <w:r>
        <w:t xml:space="preserve"> </w:t>
      </w:r>
      <w:r>
        <w:t xml:space="preserve">(backed by AG, ICC staff, CUB) — a clear positive. The</w:t>
      </w:r>
      <w:r>
        <w:t xml:space="preserve"> </w:t>
      </w:r>
      <w:r>
        <w:rPr>
          <w:b/>
          <w:bCs/>
        </w:rPr>
        <w:t xml:space="preserve">2027 test-year rate case</w:t>
      </w:r>
      <w:r>
        <w:t xml:space="preserve"> </w:t>
      </w:r>
      <w:r>
        <w:t xml:space="preserve">(Peoples Gas pipe-replacement program, ramping to ~$200M in 2026 and higher in 2027–28) is under review with a decision expected by year-end. Illinois remains the harder regulatory jurisdiction; watch for testimony/intervenor commentary.</w:t>
      </w:r>
    </w:p>
    <w:bookmarkEnd w:id="15"/>
    <w:bookmarkStart w:id="16" w:name="X5b8e8307566ca4bdbedd92a1e48b59075feac00"/>
    <w:p>
      <w:pPr>
        <w:pStyle w:val="Heading3"/>
      </w:pPr>
      <w:r>
        <w:t xml:space="preserve">6. Balance sheet &amp; equity</w:t>
      </w:r>
    </w:p>
    <w:p>
      <w:pPr>
        <w:pStyle w:val="Compact"/>
        <w:numPr>
          <w:ilvl w:val="0"/>
          <w:numId w:val="1006"/>
        </w:numPr>
      </w:pPr>
      <w:r>
        <w:t xml:space="preserve">WEC plans **up to</w:t>
      </w:r>
      <w:r>
        <w:t xml:space="preserve"> </w:t>
      </w:r>
      <m:oMath>
        <m:r>
          <m:t>1.1</m:t>
        </m:r>
        <m:r>
          <m:t>B</m:t>
        </m:r>
        <m:r>
          <m:t>o</m:t>
        </m:r>
        <m:r>
          <m:t>f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n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i</m:t>
        </m:r>
        <m:r>
          <m:t>n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d</m:t>
        </m:r>
        <m:r>
          <m:t>l</m:t>
        </m:r>
        <m:r>
          <m:t>o</m:t>
        </m:r>
        <m:r>
          <m:t>c</m:t>
        </m:r>
        <m:r>
          <m:t>k</m:t>
        </m:r>
        <m:r>
          <m:t>e</m:t>
        </m:r>
        <m:r>
          <m:t>d</m:t>
        </m:r>
        <m:r>
          <m:t>i</m:t>
        </m:r>
        <m:r>
          <m:t>n</m:t>
        </m:r>
        <m:r>
          <m:t> 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(</m:t>
        </m:r>
        <m:r>
          <m:t> </m:t>
        </m:r>
      </m:oMath>
      <w:r>
        <w:t xml:space="preserve">455M) by the end of Q1 via the ATM/forwards. Incremental capital beyond plan is funded at</w:t>
      </w:r>
      <w:r>
        <w:t xml:space="preserve"> </w:t>
      </w:r>
      <w:r>
        <w:rPr>
          <w:b/>
          <w:bCs/>
        </w:rPr>
        <w:t xml:space="preserve">50% equity content</w:t>
      </w:r>
      <w:r>
        <w:t xml:space="preserve"> </w:t>
      </w:r>
      <w:r>
        <w:t xml:space="preserve">— relevant if the fall plan upsizes materially (potential for more equity issuance).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O&amp;M</w:t>
      </w:r>
      <w:r>
        <w:t xml:space="preserve"> </w:t>
      </w:r>
      <w:r>
        <w:t xml:space="preserve">guided to +3%–5% vs. 2025 actuals for the full year.</w:t>
      </w:r>
    </w:p>
    <w:bookmarkEnd w:id="16"/>
    <w:bookmarkStart w:id="17" w:name="Xb4c391d778afd255e8c817975d1c9e4de8aa344"/>
    <w:p>
      <w:pPr>
        <w:pStyle w:val="Heading3"/>
      </w:pPr>
      <w:r>
        <w:t xml:space="preserve">7. Load, coal fleet, dividend</w:t>
      </w:r>
    </w:p>
    <w:p>
      <w:pPr>
        <w:pStyle w:val="Compact"/>
        <w:numPr>
          <w:ilvl w:val="0"/>
          <w:numId w:val="1007"/>
        </w:numPr>
      </w:pPr>
      <w:r>
        <w:t xml:space="preserve">Weather-normal retail electric deliveries grew</w:t>
      </w:r>
      <w:r>
        <w:t xml:space="preserve"> </w:t>
      </w:r>
      <w:r>
        <w:rPr>
          <w:b/>
          <w:bCs/>
        </w:rPr>
        <w:t xml:space="preserve">1.3% in Q1</w:t>
      </w:r>
      <w:r>
        <w:t xml:space="preserve"> </w:t>
      </w:r>
      <w:r>
        <w:t xml:space="preserve">(large C&amp;I +3%); full-year guide ~</w:t>
      </w:r>
      <w:r>
        <w:rPr>
          <w:b/>
          <w:bCs/>
        </w:rPr>
        <w:t xml:space="preserve">1.5%</w:t>
      </w:r>
      <w:r>
        <w:t xml:space="preserve">. Gas volumes remain in structural decline (-2.1% weather-normal in Q1). Confirmation the C&amp;I/data-center ramp is holding is the number to watch.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Oak Creek units 7 &amp; 8</w:t>
      </w:r>
      <w:r>
        <w:t xml:space="preserve"> </w:t>
      </w:r>
      <w:r>
        <w:t xml:space="preserve">life extended through 2027 (reliability bridge until new Paris RICE/Oak Creek CTs come online late 2027); coal-to-gas conversions still under study pending EPA rules.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Dividend:</w:t>
      </w:r>
      <w:r>
        <w:t xml:space="preserve"> </w:t>
      </w:r>
      <w:r>
        <w:t xml:space="preserve">raised 6.7% in January (23rd consecutive annual increase); targeting</w:t>
      </w:r>
      <w:r>
        <w:t xml:space="preserve"> </w:t>
      </w:r>
      <w:r>
        <w:rPr>
          <w:b/>
          <w:bCs/>
        </w:rPr>
        <w:t xml:space="preserve">6.5%–7%</w:t>
      </w:r>
      <w:r>
        <w:t xml:space="preserve"> </w:t>
      </w:r>
      <w:r>
        <w:t xml:space="preserve">growth — a reliable income anchor.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stock-setup-into-the-print"/>
    <w:p>
      <w:pPr>
        <w:pStyle w:val="Heading2"/>
      </w:pPr>
      <w:r>
        <w:t xml:space="preserve">Stock setup into the print</w:t>
      </w:r>
    </w:p>
    <w:p>
      <w:pPr>
        <w:pStyle w:val="Compact"/>
        <w:numPr>
          <w:ilvl w:val="0"/>
          <w:numId w:val="1008"/>
        </w:numPr>
      </w:pPr>
      <w:r>
        <w:t xml:space="preserve">WEC is up roughly</w:t>
      </w:r>
      <w:r>
        <w:t xml:space="preserve"> </w:t>
      </w:r>
      <w:r>
        <w:rPr>
          <w:b/>
          <w:bCs/>
        </w:rPr>
        <w:t xml:space="preserve">+7% YTD</w:t>
      </w:r>
      <w:r>
        <w:t xml:space="preserve"> </w:t>
      </w:r>
      <w:r>
        <w:t xml:space="preserve">(from ~</w:t>
      </w:r>
      <m:oMath>
        <m:r>
          <m:t>106.5</m:t>
        </m:r>
        <m:r>
          <m:t>t</m:t>
        </m:r>
        <m:r>
          <m:t>o</m:t>
        </m:r>
        <m:r>
          <m:t> </m:t>
        </m:r>
      </m:oMath>
      <w:r>
        <w:t xml:space="preserve">113.6 through July 28), modestly ahead of the utility sector (XLU ~+5%).</w:t>
      </w:r>
    </w:p>
    <w:p>
      <w:pPr>
        <w:pStyle w:val="Compact"/>
        <w:numPr>
          <w:ilvl w:val="0"/>
          <w:numId w:val="1008"/>
        </w:numPr>
      </w:pPr>
      <w:r>
        <w:t xml:space="preserve">However, shares have **pulled back ~4% from the late-June high (~</w:t>
      </w:r>
      <m:oMath>
        <m:r>
          <m:t>118.9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l</m:t>
        </m:r>
        <m:r>
          <m:t>a</m:t>
        </m:r>
        <m:r>
          <m:t>s</m:t>
        </m:r>
        <m:r>
          <m:t>t</m:t>
        </m:r>
        <m:r>
          <m:t>t</m:t>
        </m:r>
        <m:r>
          <m:t>w</m:t>
        </m:r>
        <m:r>
          <m:t>o</m:t>
        </m:r>
        <m:r>
          <m:t>s</m:t>
        </m:r>
        <m:r>
          <m:t>e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t>d</m:t>
        </m:r>
        <m:r>
          <m:t>o</m:t>
        </m:r>
        <m:r>
          <m:t>w</m:t>
        </m:r>
        <m:r>
          <m:t>n</m:t>
        </m:r>
        <m:r>
          <m:t>t</m:t>
        </m:r>
        <m:r>
          <m:t>o</m:t>
        </m:r>
        <m:r>
          <m:t> </m:t>
        </m:r>
      </m:oMath>
      <w:r>
        <w:t xml:space="preserve">113.6), so sentiment is slightly softer going in.</w:t>
      </w:r>
    </w:p>
    <w:p>
      <w:pPr>
        <w:pStyle w:val="Compact"/>
        <w:numPr>
          <w:ilvl w:val="0"/>
          <w:numId w:val="1008"/>
        </w:numPr>
      </w:pPr>
      <w:r>
        <w:t xml:space="preserve">Given the low-beta, guidance-bounded nature of Q2, expect the</w:t>
      </w:r>
      <w:r>
        <w:t xml:space="preserve"> </w:t>
      </w:r>
      <w:r>
        <w:rPr>
          <w:b/>
          <w:bCs/>
        </w:rPr>
        <w:t xml:space="preserve">stock reaction to hinge on tone around the fall capital-plan raise and data-center pipeline</w:t>
      </w:r>
      <w:r>
        <w:t xml:space="preserve"> </w:t>
      </w:r>
      <w:r>
        <w:t xml:space="preserve">far more than the EPS figure itself.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--what-to-listen-for"/>
    <w:p>
      <w:pPr>
        <w:pStyle w:val="Heading2"/>
      </w:pPr>
      <w:r>
        <w:t xml:space="preserve">Bottom line — what to listen for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Reaffirm (</w:t>
      </w:r>
      <m:oMath>
        <m:r>
          <m:t>5.51</m:t>
        </m:r>
        <m:r>
          <m:rPr>
            <m:sty m:val="p"/>
          </m:rPr>
          <m:t>–</m:t>
        </m:r>
      </m:oMath>
      <w:r>
        <w:rPr>
          <w:b/>
          <w:bCs/>
        </w:rPr>
        <w:t xml:space="preserve">5.61) is the base case</w:t>
      </w:r>
      <w:r>
        <w:t xml:space="preserve"> </w:t>
      </w:r>
      <w:r>
        <w:t xml:space="preserve">— a raise would be a positive surprise; watch the O&amp;M reversal.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Final VLC written order confirmed</w:t>
      </w:r>
      <w:r>
        <w:t xml:space="preserve"> </w:t>
      </w:r>
      <w:r>
        <w:t xml:space="preserve">and terms intact.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Any early read on the size/timing of the fall capital-plan increase</w:t>
      </w:r>
      <w:r>
        <w:t xml:space="preserve"> </w:t>
      </w:r>
      <w:r>
        <w:t xml:space="preserve">and how much Point Beach + new data-center load could add.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New hyperscaler/data-center discussions</w:t>
      </w:r>
      <w:r>
        <w:t xml:space="preserve"> </w:t>
      </w:r>
      <w:r>
        <w:t xml:space="preserve">— management has explicitly pre-committed to news on the Q3 call, so Q2 tone sets expectations.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Wisconsin rate-case settlement potential</w:t>
      </w:r>
      <w:r>
        <w:t xml:space="preserve"> </w:t>
      </w:r>
      <w:r>
        <w:t xml:space="preserve">and Illinois testimony trajectory.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Equity funding needs</w:t>
      </w:r>
      <w:r>
        <w:t xml:space="preserve"> </w:t>
      </w:r>
      <w:r>
        <w:t xml:space="preserve">if the plan upsizes (50% equity content on incremental capex).</w:t>
      </w:r>
    </w:p>
    <w:p>
      <w:pPr>
        <w:pStyle w:val="FirstParagraph"/>
      </w:pPr>
      <w:r>
        <w:rPr>
          <w:b/>
          <w:bCs/>
        </w:rPr>
        <w:t xml:space="preserve">Net:</w:t>
      </w:r>
      <w:r>
        <w:t xml:space="preserve"> </w:t>
      </w:r>
      <w:r>
        <w:t xml:space="preserve">A likely quiet, in-line Q2 print that serves mostly as a bridge to the more consequential Q3 catalyst (capital-plan upsize + data-center announcements). The durable growth algorithm (7–8% EPS, 6.5–7% dividend growth) and the data-center optionality remain the reasons to own it; the near-term risks are summer weather on the Q2 number and Illinois regulatory friction.</w:t>
      </w:r>
    </w:p>
    <w:p>
      <w:pPr>
        <w:pStyle w:val="BodyText"/>
      </w:pPr>
      <w:r>
        <w:rPr>
          <w:i/>
          <w:iCs/>
        </w:rPr>
        <w:t xml:space="preserve">Note: I was unable to retrieve published sell-side consensus estimates from the available tools, so comparisons above are framed against company guidance and prior-year actuals rather than Street consensus.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2026-07-29T01:09:05Z</dcterms:created>
  <dcterms:modified xsi:type="dcterms:W3CDTF">2026-07-29T01:09:05Z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