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~$0.82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~$2.06B vs. cons $2.06B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Large C&amp;I (weather-normal) electric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~3.0% vs. cons/prior-qtr ~3.0%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5.51</m:t>
              </m:r>
              <m:r>
                <m:rPr>
                  <m:sty m:val="p"/>
                </m:rPr>
                <m:t>−</m:t>
              </m:r>
            </m:oMath>
            <w:r>
              <w:t xml:space="preserve">5.61 ($5.56 midpoint) vs. cons $5.57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5-year capital plan (2026-2030)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~$37.5B vs. cons $37.5B (2026-2030 plan, refresh expected this fall)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planned common 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~$1.1B vs. cons $1.1B (FY2026 financing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(STABILIZE)</w:t>
            </w:r>
          </w:p>
        </w:tc>
        <w:tc>
          <w:tcPr/>
          <w:p>
            <w:pPr>
              <w:pStyle w:val="Compact"/>
            </w:pPr>
            <w:r>
              <w:t xml:space="preserve">With EPS tracking to the high end of already-known guidance and full-year 2026 guidance simply reaffirmed (no raise), there's little new information to drive estimate revisions up or down; the main swing factors (VLC litigation, new hyperscale signing, capital plan refresh) are all pushed to Q3/fall commentary, so the stock should largely round-trip toward flat after an initial small positive reaction rather than show sustained follow-through or a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2026-07-29T01:12:14Z</dcterms:created>
  <dcterms:modified xsi:type="dcterms:W3CDTF">2026-07-29T01:12:14Z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