
<file path=[Content_Types].xml><?xml version="1.0" encoding="utf-8"?>
<Types xmlns="http://schemas.openxmlformats.org/package/2006/content-types">
  <Default Extension="xml" ContentType="application/xml"/>
  <Default Extension="rels" ContentType="application/vnd.openxmlformats-package.relationships+xml"/>
  <Default Extension="odttf" ContentType="application/vnd.openxmlformats-officedocument.obfuscatedFont"/>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FirstParagraph"/>
      </w:pPr>
      <w:r>
        <w:t xml:space="preserve">No new 8-Ks or conference call transcripts since May. Let me do a quick web search to check for the latest analyst consensus estimate for WEC's Q2 2026 EPS and any very recent developments (e.g., VLC written order, weather in Q2, credit ratings) that might not be in the internal database.# WEC Energy Group (WEC) — Q2 2026 Earnings Preview</w:t>
      </w:r>
    </w:p>
    <w:p>
      <w:pPr>
        <w:pStyle w:val="BodyText"/>
      </w:pPr>
      <w:r>
        <w:rPr>
          <w:b/>
          <w:bCs/>
        </w:rPr>
        <w:t xml:space="preserve">Report date:</w:t>
      </w:r>
      <w:r>
        <w:t xml:space="preserve"> </w:t>
      </w:r>
      <w:r>
        <w:t xml:space="preserve">Wednesday, July 29, 2026 (before market open) |</w:t>
      </w:r>
      <w:r>
        <w:t xml:space="preserve"> </w:t>
      </w:r>
      <w:r>
        <w:rPr>
          <w:b/>
          <w:bCs/>
        </w:rPr>
        <w:t xml:space="preserve">Call:</w:t>
      </w:r>
      <w:r>
        <w:t xml:space="preserve"> </w:t>
      </w:r>
      <w:r>
        <w:t xml:space="preserve">1:00 p.m. CT</w:t>
      </w:r>
    </w:p>
    <w:p>
      <w:r>
        <w:pict>
          <v:rect style="width:0;height:1.5pt" o:hralign="center" o:hrstd="t" o:hr="t"/>
        </w:pict>
      </w:r>
    </w:p>
    <w:bookmarkStart w:id="9" w:name="setup-into-the-print"/>
    <w:p>
      <w:pPr>
        <w:pStyle w:val="Heading2"/>
      </w:pPr>
      <w:r>
        <w:t xml:space="preserve">Setup Into the Print</w:t>
      </w:r>
    </w:p>
    <w:p>
      <w:pPr>
        <w:pStyle w:val="FirstParagraph"/>
      </w:pPr>
      <w:r>
        <w:t xml:space="preserve">WEC comes into tomorrow's report after a strong Q1, with the stock trading around</w:t>
      </w:r>
      <w:r>
        <w:t xml:space="preserve"> </w:t>
      </w:r>
      <w:r>
        <w:rPr>
          <w:b/>
          <w:bCs/>
        </w:rPr>
        <w:t xml:space="preserve">$113–114</w:t>
      </w:r>
      <w:r>
        <w:t xml:space="preserve">, roughly 5-7% above its January 2026 starting price but pulled back about 4% from the late-June/early-July high near $118-119. The broader utility sector (XLU) has moved in a similar pattern, so WEC's relative performance has been fairly in-line with peers, modestly outperforming.</w:t>
      </w:r>
    </w:p>
    <w:p>
      <w:pPr>
        <w:pStyle w:val="BodyText"/>
      </w:pPr>
      <w:r>
        <w:rPr>
          <w:b/>
          <w:bCs/>
        </w:rPr>
        <w:t xml:space="preserve">Consensus expects Q2 2026 EPS of roughly</w:t>
      </w:r>
      <w:r>
        <w:rPr>
          <w:b/>
          <w:bCs/>
        </w:rPr>
        <w:t xml:space="preserve"> </w:t>
      </w:r>
      <m:oMath>
        <m:r>
          <m:t>0.81</m:t>
        </m:r>
        <m:r>
          <m:rPr>
            <m:sty m:val="p"/>
          </m:rPr>
          <m:t>–</m:t>
        </m:r>
      </m:oMath>
      <w:r>
        <w:rPr>
          <w:b/>
          <w:bCs/>
        </w:rPr>
        <w:t xml:space="preserve">0.82</w:t>
      </w:r>
      <w:r>
        <w:t xml:space="preserve">, which would be up from $0.76 a year ago (management's own guidance range for the quarter is</w:t>
      </w:r>
      <w:r>
        <w:t xml:space="preserve"> </w:t>
      </w:r>
      <m:oMath>
        <m:r>
          <m:t>0.76</m:t>
        </m:r>
        <m:r>
          <m:rPr>
            <m:sty m:val="p"/>
          </m:rPr>
          <m:t>–</m:t>
        </m:r>
      </m:oMath>
      <w:r>
        <w:t xml:space="preserve">0.82, so the print is expected to land at the high end of company guidance). Revenue is expected around</w:t>
      </w:r>
      <w:r>
        <w:t xml:space="preserve"> </w:t>
      </w:r>
      <m:oMath>
        <m:r>
          <m:t>2.05</m:t>
        </m:r>
        <m:r>
          <m:rPr>
            <m:sty m:val="p"/>
          </m:rPr>
          <m:t>–</m:t>
        </m:r>
      </m:oMath>
      <w:r>
        <w:rPr>
          <w:b/>
          <w:bCs/>
        </w:rPr>
        <w:t xml:space="preserve">2.07 billion</w:t>
      </w:r>
      <w:r>
        <w:t xml:space="preserve">.</w:t>
      </w:r>
    </w:p>
    <w:bookmarkEnd w:id="9"/>
    <w:bookmarkStart w:id="10" w:name="q1-2026-recap-set-the-baseline"/>
    <w:p>
      <w:pPr>
        <w:pStyle w:val="Heading2"/>
      </w:pPr>
      <w:r>
        <w:t xml:space="preserve">Q1 2026 Recap (Set the Baseline)</w:t>
      </w:r>
    </w:p>
    <w:p>
      <w:pPr>
        <w:pStyle w:val="FirstParagraph"/>
      </w:pPr>
      <w:r>
        <w:t xml:space="preserve">WEC delivered Q1 2026 EPS of $2.45, up</w:t>
      </w:r>
      <w:r>
        <w:t xml:space="preserve"> </w:t>
      </w:r>
      <m:oMath>
        <m:r>
          <m:t>0.18</m:t>
        </m:r>
        <m:r>
          <m:t>y</m:t>
        </m:r>
        <m:r>
          <m:t>e</m:t>
        </m:r>
        <m:r>
          <m:t>a</m:t>
        </m:r>
        <m:r>
          <m:t>r</m:t>
        </m:r>
        <m:r>
          <m:rPr>
            <m:sty m:val="p"/>
          </m:rPr>
          <m:t>−</m:t>
        </m:r>
        <m:r>
          <m:t>o</m:t>
        </m:r>
        <m:r>
          <m:t>v</m:t>
        </m:r>
        <m:r>
          <m:t>e</m:t>
        </m:r>
        <m:r>
          <m:t>r</m:t>
        </m:r>
        <m:r>
          <m:rPr>
            <m:sty m:val="p"/>
          </m:rPr>
          <m:t>−</m:t>
        </m:r>
        <m:r>
          <m:t>y</m:t>
        </m:r>
        <m:r>
          <m:t>e</m:t>
        </m:r>
        <m:r>
          <m:t>a</m:t>
        </m:r>
        <m:r>
          <m:t>r</m:t>
        </m:r>
        <m:r>
          <m:rPr>
            <m:sty m:val="p"/>
          </m:rPr>
          <m:t>,</m:t>
        </m:r>
        <m:r>
          <m:t>d</m:t>
        </m:r>
        <m:r>
          <m:t>r</m:t>
        </m:r>
        <m:r>
          <m:t>i</m:t>
        </m:r>
        <m:r>
          <m:t>v</m:t>
        </m:r>
        <m:r>
          <m:t>e</m:t>
        </m:r>
        <m:r>
          <m:t>n</m:t>
        </m:r>
        <m:r>
          <m:t>m</m:t>
        </m:r>
        <m:r>
          <m:t>a</m:t>
        </m:r>
        <m:r>
          <m:t>i</m:t>
        </m:r>
        <m:r>
          <m:t>n</m:t>
        </m:r>
        <m:r>
          <m:t>l</m:t>
        </m:r>
        <m:r>
          <m:t>y</m:t>
        </m:r>
        <m:r>
          <m:t>b</m:t>
        </m:r>
        <m:r>
          <m:t>y</m:t>
        </m:r>
        <m:r>
          <m:t>r</m:t>
        </m:r>
        <m:r>
          <m:t>a</m:t>
        </m:r>
        <m:r>
          <m:t>t</m:t>
        </m:r>
        <m:r>
          <m:t>e</m:t>
        </m:r>
        <m:r>
          <m:t>b</m:t>
        </m:r>
        <m:r>
          <m:t>a</m:t>
        </m:r>
        <m:r>
          <m:t>s</m:t>
        </m:r>
        <m:r>
          <m:t>e</m:t>
        </m:r>
        <m:r>
          <m:t>g</m:t>
        </m:r>
        <m:r>
          <m:t>r</m:t>
        </m:r>
        <m:r>
          <m:t>o</m:t>
        </m:r>
        <m:r>
          <m:t>w</m:t>
        </m:r>
        <m:r>
          <m:t>t</m:t>
        </m:r>
        <m:r>
          <m:t>h</m:t>
        </m:r>
        <m:r>
          <m:rPr>
            <m:sty m:val="p"/>
          </m:rPr>
          <m:t>(</m:t>
        </m:r>
      </m:oMath>
      <w:r>
        <w:t xml:space="preserve">0.17, including</w:t>
      </w:r>
      <w:r>
        <w:t xml:space="preserve"> </w:t>
      </w:r>
      <w:r>
        <w:t xml:space="preserve">$0.09 of incremental AFUDC equity from projects under construction) and favorable day-to-day O&amp;M, partially offset by unfavorable weather. Weather-normal retail electric deliveries (ex. iron ore mine) grew 1.3%, led by 3% growth in large commercial &amp; industrial demand — a proxy for early data-center load. Management reaffirmed full-year 2026 guidance of **$</w:t>
      </w:r>
      <w:r>
        <w:t xml:space="preserve">5.51–$5.61 per share**, assuming normal weather.</w:t>
      </w:r>
    </w:p>
    <w:bookmarkEnd w:id="10"/>
    <w:bookmarkStart w:id="11" w:name="key-themes-to-watch-on-the-call"/>
    <w:p>
      <w:pPr>
        <w:pStyle w:val="Heading2"/>
      </w:pPr>
      <w:r>
        <w:t xml:space="preserve">Key Themes to Watch on the Call</w:t>
      </w:r>
    </w:p>
    <w:p>
      <w:pPr>
        <w:pStyle w:val="FirstParagraph"/>
      </w:pPr>
      <w:r>
        <w:rPr>
          <w:b/>
          <w:bCs/>
        </w:rPr>
        <w:t xml:space="preserve">1. Data center/hyperscale buildout — the core growth story.</w:t>
      </w:r>
      <w:r>
        <w:t xml:space="preserve"> </w:t>
      </w:r>
      <w:r>
        <w:t xml:space="preserve">WEC's growth thesis is now overwhelmingly tied to large-load customers. Microsoft's first Mount Pleasant data center came online ahead of schedule, and the company is preparing to serve up to 2.6 GW of demand in that corridor through 2030. To the north, Vantage Data Centers/Oracle's Port Washington ("Lighthouse") site carries 1.3 GW in the current 5-year plan with potential to reach 3.5 GW over time, and the first facility could be in service late 2027. Management indicated it is in discussions with additional hyperscalers and hinted a</w:t>
      </w:r>
      <w:r>
        <w:t xml:space="preserve"> </w:t>
      </w:r>
      <w:r>
        <w:rPr>
          <w:b/>
          <w:bCs/>
        </w:rPr>
        <w:t xml:space="preserve">new data-center customer announcement is possible on the Q3 call</w:t>
      </w:r>
      <w:r>
        <w:t xml:space="preserve"> </w:t>
      </w:r>
      <w:r>
        <w:t xml:space="preserve">— investors should listen for any incremental update on timing or additional load commitments.</w:t>
      </w:r>
    </w:p>
    <w:p>
      <w:pPr>
        <w:pStyle w:val="BodyText"/>
      </w:pPr>
      <w:r>
        <w:rPr>
          <w:b/>
          <w:bCs/>
        </w:rPr>
        <w:t xml:space="preserve">2. VLC tariff — approved, but now facing a legal challenge.</w:t>
      </w:r>
      <w:r>
        <w:t xml:space="preserve"> </w:t>
      </w:r>
      <w:r>
        <w:t xml:space="preserve">The Wisconsin PSC gave verbal approval to the Very Large Customer (VLC) tariff on April 24, with a written Final Decision issued May 21 (ROE range of 10.48%–10.98%, 57% equity ratio). However, since the Q1 call, Wisconsin Electric, Vantage and Cloverleaf jointly petitioned for rehearing over the security/collateral requirements imposed on sub-investment-grade customers, and Oracle has since escalated the matter to Ozaukee County Circuit Court, arguing the financial security requirements for the Lighthouse campus could cost it more than $100 million annually. This is a watch item — it doesn't appear to threaten the underlying economics for WEC's shareholders directly, but it's a sign of friction in implementation that could bear on the pace of future large-load contracting and deserves a management update.</w:t>
      </w:r>
    </w:p>
    <w:p>
      <w:pPr>
        <w:pStyle w:val="BodyText"/>
      </w:pPr>
      <w:r>
        <w:rPr>
          <w:b/>
          <w:bCs/>
        </w:rPr>
        <w:t xml:space="preserve">3. Wisconsin and Illinois rate cases.</w:t>
      </w:r>
      <w:r>
        <w:t xml:space="preserve"> </w:t>
      </w:r>
      <w:r>
        <w:t xml:space="preserve">WEC filed a Wisconsin rate request in April for test years 2027-2028 (electric increases proposed around 4.5-4.7% each year), with orders expected by year-end and new rates effective January 2027/2028. In Illinois, WEC reached a settlement on long-running uncollectible/QIP rider proceedings and continues to press a January-filed rate case tied to its Chicago pipe-retirement program, with a decision also expected by year-end; management has signaled Illinois rate filings will likely become an annual cadence going forward.</w:t>
      </w:r>
    </w:p>
    <w:p>
      <w:pPr>
        <w:pStyle w:val="BodyText"/>
      </w:pPr>
      <w:r>
        <w:rPr>
          <w:b/>
          <w:bCs/>
        </w:rPr>
        <w:t xml:space="preserve">4. Point Beach replacement planning.</w:t>
      </w:r>
      <w:r>
        <w:t xml:space="preserve"> </w:t>
      </w:r>
      <w:r>
        <w:t xml:space="preserve">With NextEra's Point Beach PPAs rolling off in 2030 and 2033, WEC is evaluating replacement generation (a mix of gas — potentially combined cycle — and renewables), using a rule-of-thumb of</w:t>
      </w:r>
      <w:r>
        <w:t xml:space="preserve"> </w:t>
      </w:r>
      <m:oMath>
        <m:r>
          <m:t>2.0</m:t>
        </m:r>
        <m:r>
          <m:rPr>
            <m:sty m:val="p"/>
          </m:rPr>
          <m:t>–</m:t>
        </m:r>
      </m:oMath>
      <w:r>
        <w:t xml:space="preserve">2.5 billion of capital per gigawatt. Expect this to be incorporated into the capital plan refresh this fall; any early color on scope/timing matters for long-term capex trajectory.</w:t>
      </w:r>
    </w:p>
    <w:p>
      <w:pPr>
        <w:pStyle w:val="BodyText"/>
      </w:pPr>
      <w:r>
        <w:rPr>
          <w:b/>
          <w:bCs/>
        </w:rPr>
        <w:t xml:space="preserve">5. Capital plan execution and financing.</w:t>
      </w:r>
      <w:r>
        <w:t xml:space="preserve"> </w:t>
      </w:r>
      <w:r>
        <w:t xml:space="preserve">The 5-year capital plan stands at $37.5 billion, with roughly 15% of the asset base expected to be attributable to very large customers by 2030. Management continues to target 7%-8% compound annual EPS growth through 2030, accelerating to the upper half of that range starting in 2028. On financing, WEC had locked in about $455 million of the $1.1 billion of planned 2026 common equity issuance through Q1 (via ATM/forward and benefit-plan issuance) — watch for an update on issuance pace and any change to the equity/debt mix given the capex ramp.</w:t>
      </w:r>
    </w:p>
    <w:p>
      <w:pPr>
        <w:pStyle w:val="BodyText"/>
      </w:pPr>
      <w:r>
        <w:rPr>
          <w:b/>
          <w:bCs/>
        </w:rPr>
        <w:t xml:space="preserve">6. Weather and load trends.</w:t>
      </w:r>
      <w:r>
        <w:t xml:space="preserve"> </w:t>
      </w:r>
      <w:r>
        <w:t xml:space="preserve">Q1 weather was a modest ~$0.02 drag; investors should watch whether Q2 (April-June) weather was a swing factor versus the</w:t>
      </w:r>
      <w:r>
        <w:t xml:space="preserve"> </w:t>
      </w:r>
      <m:oMath>
        <m:r>
          <m:t>0.76</m:t>
        </m:r>
        <m:r>
          <m:rPr>
            <m:sty m:val="p"/>
          </m:rPr>
          <m:t>−</m:t>
        </m:r>
      </m:oMath>
      <w:r>
        <w:t xml:space="preserve">0.82 guided range, and whether large C&amp;I electric growth (the best current proxy for data-center ramp) continued to track ahead of the ~1.5% full-year electric sales growth forecast. Natural gas usage trends (weather-normal deliveries were down 2.1% in Q1) are also worth monitoring given persistent usage-decline dynamics in metro service areas.</w:t>
      </w:r>
    </w:p>
    <w:p>
      <w:pPr>
        <w:pStyle w:val="BodyText"/>
      </w:pPr>
      <w:r>
        <w:rPr>
          <w:b/>
          <w:bCs/>
        </w:rPr>
        <w:t xml:space="preserve">7. Generation fleet decisions.</w:t>
      </w:r>
      <w:r>
        <w:t xml:space="preserve"> </w:t>
      </w:r>
      <w:r>
        <w:t xml:space="preserve">WEC recently opted to extend the operating life of Oak Creek coal Units 7 and 8 through 2027 (rather than retiring them this year) for reliability/affordability reasons while new Paris RICE units and Oak Creek combustion turbines come online in late 2027 — a reminder that near-term dispatchable capacity remains tight as the system scales up for new load.</w:t>
      </w:r>
    </w:p>
    <w:bookmarkEnd w:id="11"/>
    <w:bookmarkStart w:id="12" w:name="X4882c8565641943ffb34733fa784d3553e6a281"/>
    <w:p>
      <w:pPr>
        <w:pStyle w:val="Heading2"/>
      </w:pPr>
      <w:r>
        <w:t xml:space="preserve">Balance Sheet / Capital Markets Considerations</w:t>
      </w:r>
    </w:p>
    <w:p>
      <w:pPr>
        <w:pStyle w:val="FirstParagraph"/>
      </w:pPr>
      <w:r>
        <w:t xml:space="preserve">WEC's dividend growth story remains intact — the board raised the dividend 6.7% in January, the</w:t>
      </w:r>
      <w:r>
        <w:t xml:space="preserve"> </w:t>
      </w:r>
      <w:r>
        <w:rPr>
          <w:b/>
          <w:bCs/>
        </w:rPr>
        <w:t xml:space="preserve">23rd consecutive year</w:t>
      </w:r>
      <w:r>
        <w:t xml:space="preserve"> </w:t>
      </w:r>
      <w:r>
        <w:t xml:space="preserve">of increases, consistent with a targeted 6.5%-7% dividend growth rate. With the capital plan growing alongside data-center demand, continued reliance on equity issuance (ATM/forward programs) and debt markets will be a recurring theme; any incremental capital beyond the current plan is expected to be funded with 50% equity content, which is a useful marker for gauging dilution risk from further capital plan increases.</w:t>
      </w:r>
    </w:p>
    <w:bookmarkEnd w:id="12"/>
    <w:bookmarkStart w:id="13" w:name="what-could-move-the-stock"/>
    <w:p>
      <w:pPr>
        <w:pStyle w:val="Heading2"/>
      </w:pPr>
      <w:r>
        <w:t xml:space="preserve">What Could Move the Stock</w:t>
      </w:r>
    </w:p>
    <w:p>
      <w:pPr>
        <w:pStyle w:val="Compact"/>
        <w:numPr>
          <w:ilvl w:val="0"/>
          <w:numId w:val="1001"/>
        </w:numPr>
      </w:pPr>
      <w:r>
        <w:rPr>
          <w:b/>
          <w:bCs/>
        </w:rPr>
        <w:t xml:space="preserve">Upside:</w:t>
      </w:r>
      <w:r>
        <w:t xml:space="preserve"> </w:t>
      </w:r>
      <w:r>
        <w:t xml:space="preserve">A beat versus the high end of guidance, positive commentary/timing on a new hyperscale customer signing ahead of Q3, a favorable or expedited resolution to the VLC security dispute, or early signs of settlement progress in the Wisconsin/Illinois rate cases.</w:t>
      </w:r>
    </w:p>
    <w:p>
      <w:pPr>
        <w:pStyle w:val="Compact"/>
        <w:numPr>
          <w:ilvl w:val="0"/>
          <w:numId w:val="1001"/>
        </w:numPr>
      </w:pPr>
      <w:r>
        <w:rPr>
          <w:b/>
          <w:bCs/>
        </w:rPr>
        <w:t xml:space="preserve">Downside/watch-items:</w:t>
      </w:r>
      <w:r>
        <w:t xml:space="preserve"> </w:t>
      </w:r>
      <w:r>
        <w:t xml:space="preserve">Any signs of load-growth softening or pushback from local communities/referenda on data-center siting (echoing the Port Washington TIF referendum discussed on the Q1 call), unfavorable weather versus guidance, escalation of the Oracle/Ozaukee County litigation, or signals of a heavier equity funding need than currently modeled.</w:t>
      </w:r>
    </w:p>
    <w:bookmarkEnd w:id="13"/>
    <w:bookmarkStart w:id="14" w:name="bottom-line"/>
    <w:p>
      <w:pPr>
        <w:pStyle w:val="Heading2"/>
      </w:pPr>
      <w:r>
        <w:t xml:space="preserve">Bottom Line</w:t>
      </w:r>
    </w:p>
    <w:p>
      <w:pPr>
        <w:pStyle w:val="FirstParagraph"/>
      </w:pPr>
      <w:r>
        <w:t xml:space="preserve">WEC heads into Q2 earnings with full-year guidance intact (</w:t>
      </w:r>
      <m:oMath>
        <m:r>
          <m:t>5.51</m:t>
        </m:r>
        <m:r>
          <m:rPr>
            <m:sty m:val="p"/>
          </m:rPr>
          <m:t>−</m:t>
        </m:r>
      </m:oMath>
      <w:r>
        <w:t xml:space="preserve">5.61), consensus expecting the print to land at the top of the company's own quarterly range, and a growth narrative squarely centered on its multi-gigawatt hyperscale pipeline (Microsoft, Vantage/Oracle) layered onto a already-large $37.5 billion five-year capital plan. The print itself is unlikely to be the main driver of the stock reaction — instead, investors should focus on management's commentary around new large-load customer momentum, the VLC tariff legal challenge, and progress in the Wisconsin and Illinois rate cases, as these will shape the durability of the 7%-8% (accelerating to upper-half) EPS growth algorithm the stock is priced on.</w:t>
      </w:r>
    </w:p>
    <w:bookmarkEnd w:id="14"/>
    <w:sectPr>
      <w:footnotePr>
        <w:numRestart w:val="eachSect"/>
      </w:footnotePr>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Cambria Math">
    <w:panose1 w:val="02040503050406030204"/>
    <w:charset w:val="00"/>
    <w:family w:val="roman"/>
    <w:pitch w:val="variable"/>
    <w:sig w:usb0="E00002FF" w:usb1="420024FF" w:usb2="00000000" w:usb3="00000000" w:csb0="0000019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0000A990"/>
    <w:multiLevelType w:val="multilevel"/>
    <w:lvl w:ilvl="0">
      <w:numFmt w:val="bullet"/>
      <w:lvlText w:val=" "/>
      <w:lvlJc w:val="left"/>
      <w:pPr>
        <w:ind w:left="720" w:hanging="360"/>
      </w:pPr>
    </w:lvl>
    <w:lvl w:ilvl="1">
      <w:numFmt w:val="bullet"/>
      <w:lvlText w:val=" "/>
      <w:lvlJc w:val="left"/>
      <w:pPr>
        <w:ind w:left="1440" w:hanging="360"/>
      </w:pPr>
    </w:lvl>
    <w:lvl w:ilvl="2">
      <w:numFmt w:val="bullet"/>
      <w:lvlText w:val=" "/>
      <w:lvlJc w:val="left"/>
      <w:pPr>
        <w:ind w:left="2160" w:hanging="360"/>
      </w:pPr>
    </w:lvl>
    <w:lvl w:ilvl="3">
      <w:numFmt w:val="bullet"/>
      <w:lvlText w:val=" "/>
      <w:lvlJc w:val="left"/>
      <w:pPr>
        <w:ind w:left="2880" w:hanging="360"/>
      </w:pPr>
    </w:lvl>
    <w:lvl w:ilvl="4">
      <w:numFmt w:val="bullet"/>
      <w:lvlText w:val=" "/>
      <w:lvlJc w:val="left"/>
      <w:pPr>
        <w:ind w:left="3600" w:hanging="360"/>
      </w:pPr>
    </w:lvl>
    <w:lvl w:ilvl="5">
      <w:numFmt w:val="bullet"/>
      <w:lvlText w:val=" "/>
      <w:lvlJc w:val="left"/>
      <w:pPr>
        <w:ind w:left="4320" w:hanging="360"/>
      </w:pPr>
    </w:lvl>
    <w:lvl w:ilvl="6">
      <w:numFmt w:val="bullet"/>
      <w:lvlText w:val=" "/>
      <w:lvlJc w:val="left"/>
      <w:pPr>
        <w:ind w:left="5040" w:hanging="360"/>
      </w:pPr>
    </w:lvl>
    <w:lvl w:ilvl="7">
      <w:numFmt w:val="bullet"/>
      <w:lvlText w:val=" "/>
      <w:lvlJc w:val="left"/>
      <w:pPr>
        <w:ind w:left="5760" w:hanging="360"/>
      </w:pPr>
    </w:lvl>
    <w:lvl w:ilvl="8">
      <w:numFmt w:val="bullet"/>
      <w:lvlText w:val=" "/>
      <w:lvlJc w:val="left"/>
      <w:pPr>
        <w:ind w:left="6480" w:hanging="360"/>
      </w:pPr>
    </w:lvl>
  </w:abstractNum>
  <w:abstractNum w:abstractNumId="991">
    <w:nsid w:val="0000A991"/>
    <w:multiLevelType w:val="multilevel"/>
    <w:lvl w:ilvl="0">
      <w:numFmt w:val="bullet"/>
      <w:lvlText w:val=""/>
      <w:lvlJc w:val="left"/>
      <w:pPr>
        <w:ind w:left="720" w:hanging="360"/>
      </w:pPr>
      <w:rPr>
        <w:rFonts w:ascii="Symbol" w:hAnsi="Symbol" w:cs="Symbol" w:hint="default"/>
      </w:rPr>
    </w:lvl>
    <w:lvl w:ilvl="1">
      <w:numFmt w:val="bullet"/>
      <w:lvlText w:val="o"/>
      <w:lvlJc w:val="left"/>
      <w:pPr>
        <w:ind w:left="1440" w:hanging="360"/>
      </w:pPr>
      <w:rPr>
        <w:rFonts w:ascii="Courier New" w:hAnsi="Courier New" w:cs="Courier New" w:hint="default"/>
      </w:rPr>
    </w:lvl>
    <w:lvl w:ilvl="2">
      <w:numFmt w:val="bullet"/>
      <w:lvlText w:val=""/>
      <w:lvlJc w:val="left"/>
      <w:pPr>
        <w:ind w:left="2160" w:hanging="360"/>
      </w:pPr>
      <w:rPr>
        <w:rFonts w:ascii="Wingdings" w:hAnsi="Wingdings" w:cs="Wingdings" w:hint="default"/>
      </w:rPr>
    </w:lvl>
    <w:lvl w:ilvl="3">
      <w:numFmt w:val="bullet"/>
      <w:lvlText w:val=""/>
      <w:lvlJc w:val="left"/>
      <w:pPr>
        <w:ind w:left="2880" w:hanging="360"/>
      </w:pPr>
      <w:rPr>
        <w:rFonts w:ascii="Symbol" w:hAnsi="Symbol" w:cs="Symbol" w:hint="default"/>
      </w:rPr>
    </w:lvl>
    <w:lvl w:ilvl="4">
      <w:numFmt w:val="bullet"/>
      <w:lvlText w:val="o"/>
      <w:lvlJc w:val="left"/>
      <w:pPr>
        <w:ind w:left="3600" w:hanging="360"/>
      </w:pPr>
      <w:rPr>
        <w:rFonts w:ascii="Courier New" w:hAnsi="Courier New" w:cs="Courier New" w:hint="default"/>
      </w:rPr>
    </w:lvl>
    <w:lvl w:ilvl="5">
      <w:numFmt w:val="bullet"/>
      <w:lvlText w:val=""/>
      <w:lvlJc w:val="left"/>
      <w:pPr>
        <w:ind w:left="4320" w:hanging="360"/>
      </w:pPr>
      <w:rPr>
        <w:rFonts w:ascii="Wingdings" w:hAnsi="Wingdings" w:cs="Wingdings" w:hint="default"/>
      </w:rPr>
    </w:lvl>
    <w:lvl w:ilvl="6">
      <w:numFmt w:val="bullet"/>
      <w:lvlText w:val=""/>
      <w:lvlJc w:val="left"/>
      <w:pPr>
        <w:ind w:left="5040" w:hanging="360"/>
      </w:pPr>
      <w:rPr>
        <w:rFonts w:ascii="Symbol" w:hAnsi="Symbol" w:cs="Symbol" w:hint="default"/>
      </w:rPr>
    </w:lvl>
    <w:lvl w:ilvl="7">
      <w:numFmt w:val="bullet"/>
      <w:lvlText w:val="o"/>
      <w:lvlJc w:val="left"/>
      <w:pPr>
        <w:ind w:left="5760" w:hanging="360"/>
      </w:pPr>
      <w:rPr>
        <w:rFonts w:ascii="Courier New" w:hAnsi="Courier New" w:cs="Courier New" w:hint="default"/>
      </w:rPr>
    </w:lvl>
    <w:lvl w:ilvl="8">
      <w:numFmt w:val="bullet"/>
      <w:lvlText w:val=""/>
      <w:lvlJc w:val="left"/>
      <w:pPr>
        <w:ind w:left="6480" w:hanging="360"/>
      </w:pPr>
      <w:rPr>
        <w:rFonts w:ascii="Wingdings" w:hAnsi="Wingdings" w:cs="Wingdings" w:hint="default"/>
      </w:r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zoom w:percent="100"/>
  <w:embedSystemFonts/>
  <w:proofState w:grammar="clean" w:spelling="clean"/>
  <w:stylePaneFormatFilter w:val="0004"/>
  <w:doNotTrackMoves/>
  <w:defaultTabStop w:val="720"/>
  <w:drawingGridHorizontalSpacing w:val="360"/>
  <w:drawingGridVerticalSpacing w:val="360"/>
  <w:displayHorizontalDrawingGridEvery w:val="0"/>
  <w:displayVerticalDrawingGridEvery w:val="0"/>
  <w:characterSpacingControl w:val="doNotCompress"/>
  <w:savePreviewPicture/>
  <w:rsids>
  </w:rsids>
  <w:themeFontLang w:val="en-US"/>
  <w:clrSchemeMapping w:accent1="accent1" w:accent2="accent2" w:accent3="accent3" w:accent4="accent4" w:accent5="accent5" w:accent6="accent6" w:bg1="light1" w:bg2="light2" w:followedHyperlink="followedHyperlink" w:hyperlink="hyperlink" w:t1="dark1" w:t2="dark2"/>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EastAsia" w:hAnsiTheme="minorHAnsi"/>
        <w:sz w:val="24"/>
        <w:szCs w:val="24"/>
        <w:lang w:bidi="ar-SA" w:eastAsia="zh-CN"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link w:val="TitleChar"/>
    <w:uiPriority w:val="10"/>
    <w:qFormat/>
    <w:rsid w:val="00A10FD9"/>
    <w:pPr>
      <w:spacing w:after="80" w:line="240" w:lineRule="auto"/>
      <w:contextualSpacing/>
      <w:jc w:val="center"/>
    </w:pPr>
    <w:rPr>
      <w:rFonts w:asciiTheme="majorHAnsi" w:cstheme="majorBidi" w:eastAsiaTheme="majorEastAsia" w:hAnsiTheme="majorHAnsi"/>
      <w:sz w:val="56"/>
      <w:szCs w:val="56"/>
    </w:rPr>
  </w:style>
  <w:style w:customStyle="1" w:styleId="TitleChar" w:type="character">
    <w:name w:val="Title Char"/>
    <w:basedOn w:val="DefaultParagraphFont"/>
    <w:link w:val="Title"/>
    <w:uiPriority w:val="10"/>
    <w:rsid w:val="00A10FD9"/>
    <w:rPr>
      <w:rFonts w:asciiTheme="majorHAnsi" w:cstheme="majorBidi" w:eastAsiaTheme="majorEastAsia" w:hAnsiTheme="majorHAnsi"/>
      <w:sz w:val="56"/>
      <w:szCs w:val="56"/>
    </w:rPr>
  </w:style>
  <w:style w:styleId="Subtitle" w:type="paragraph">
    <w:name w:val="Subtitle"/>
    <w:basedOn w:val="Title"/>
    <w:next w:val="BodyText"/>
    <w:link w:val="SubtitleChar"/>
    <w:uiPriority w:val="11"/>
    <w:qFormat/>
    <w:rsid w:val="00A10FD9"/>
    <w:pPr>
      <w:numPr>
        <w:ilvl w:val="1"/>
      </w:numPr>
    </w:pPr>
    <w:rPr>
      <w:rFonts w:cstheme="majorBidi" w:eastAsiaTheme="majorEastAsia"/>
      <w:spacing w:val="15"/>
      <w:sz w:val="28"/>
      <w:szCs w:val="28"/>
    </w:rPr>
  </w:style>
  <w:style w:customStyle="1" w:styleId="SubtitleChar" w:type="character">
    <w:name w:val="Subtitle Char"/>
    <w:basedOn w:val="DefaultParagraphFont"/>
    <w:link w:val="Subtitle"/>
    <w:uiPriority w:val="11"/>
    <w:rsid w:val="00A10FD9"/>
    <w:rPr>
      <w:rFonts w:cstheme="majorBidi" w:eastAsiaTheme="majorEastAsia"/>
      <w:color w:themeColor="text1" w:themeTint="A6" w:val="595959"/>
      <w:spacing w:val="15"/>
      <w:sz w:val="28"/>
      <w:szCs w:val="28"/>
    </w:rPr>
  </w:style>
  <w:style w:customStyle="1" w:styleId="Author" w:type="paragraph">
    <w:name w:val="Author"/>
    <w:basedOn w:val="Title"/>
    <w:next w:val="BodyText"/>
    <w:qFormat/>
    <w:pPr>
      <w:keepNext/>
      <w:keepLines/>
    </w:pPr>
    <w:rPr>
      <w:sz w:val="24"/>
      <w:szCs w:val="24"/>
    </w:rPr>
  </w:style>
  <w:style w:styleId="Date" w:type="paragraph">
    <w:name w:val="Date"/>
    <w:basedOn w:val="Title"/>
    <w:next w:val="BodyText"/>
    <w:qFormat/>
    <w:pPr>
      <w:keepNext/>
      <w:keepLines/>
    </w:pPr>
    <w:rPr>
      <w:sz w:val="24"/>
      <w:szCs w:val="24"/>
    </w:rPr>
  </w:style>
  <w:style w:customStyle="1" w:styleId="AbstractTitle" w:type="paragraph">
    <w:name w:val="Abstract Title"/>
    <w:basedOn w:val="Normal"/>
    <w:next w:val="Abstract"/>
    <w:qFormat/>
    <w:pPr>
      <w:keepNext/>
      <w:keepLines/>
      <w:spacing w:after="0" w:before="300"/>
      <w:jc w:val="center"/>
    </w:pPr>
    <w:rPr>
      <w:b/>
      <w:sz w:val="20"/>
      <w:szCs w:val="20"/>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link w:val="Heading1Char"/>
    <w:uiPriority w:val="9"/>
    <w:qFormat/>
    <w:rsid w:val="00A10FD9"/>
    <w:pPr>
      <w:keepNext/>
      <w:keepLines/>
      <w:spacing w:after="80" w:before="360"/>
      <w:outlineLvl w:val="0"/>
    </w:pPr>
    <w:rPr>
      <w:rFonts w:asciiTheme="majorHAnsi" w:cstheme="majorBidi" w:eastAsiaTheme="majorEastAsia" w:hAnsiTheme="majorHAnsi"/>
      <w:color w:themeColor="accent1" w:themeShade="BF" w:val="0F4761"/>
      <w:sz w:val="40"/>
      <w:szCs w:val="40"/>
    </w:rPr>
  </w:style>
  <w:style w:styleId="Heading2" w:type="paragraph">
    <w:name w:val="heading 2"/>
    <w:basedOn w:val="Normal"/>
    <w:next w:val="BodyText"/>
    <w:link w:val="Heading2Char"/>
    <w:uiPriority w:val="9"/>
    <w:semiHidden/>
    <w:unhideWhenUsed/>
    <w:qFormat/>
    <w:rsid w:val="00A10FD9"/>
    <w:pPr>
      <w:keepNext/>
      <w:keepLines/>
      <w:spacing w:after="80" w:before="160"/>
      <w:outlineLvl w:val="1"/>
    </w:pPr>
    <w:rPr>
      <w:rFonts w:asciiTheme="majorHAnsi" w:cstheme="majorBidi" w:eastAsiaTheme="majorEastAsia" w:hAnsiTheme="majorHAnsi"/>
      <w:color w:themeColor="accent1" w:themeShade="BF" w:val="0F4761"/>
      <w:sz w:val="32"/>
      <w:szCs w:val="32"/>
    </w:rPr>
  </w:style>
  <w:style w:styleId="Heading3" w:type="paragraph">
    <w:name w:val="heading 3"/>
    <w:basedOn w:val="Normal"/>
    <w:next w:val="BodyText"/>
    <w:link w:val="Heading3Char"/>
    <w:uiPriority w:val="9"/>
    <w:semiHidden/>
    <w:unhideWhenUsed/>
    <w:qFormat/>
    <w:rsid w:val="00A10FD9"/>
    <w:pPr>
      <w:keepNext/>
      <w:keepLines/>
      <w:spacing w:after="80" w:before="160"/>
      <w:outlineLvl w:val="2"/>
    </w:pPr>
    <w:rPr>
      <w:rFonts w:cstheme="majorBidi" w:eastAsiaTheme="majorEastAsia"/>
      <w:color w:themeColor="accent1" w:themeShade="BF" w:val="0F4761"/>
      <w:sz w:val="28"/>
      <w:szCs w:val="28"/>
    </w:rPr>
  </w:style>
  <w:style w:styleId="Heading4" w:type="paragraph">
    <w:name w:val="heading 4"/>
    <w:basedOn w:val="Normal"/>
    <w:next w:val="BodyText"/>
    <w:link w:val="Heading4Char"/>
    <w:uiPriority w:val="9"/>
    <w:semiHidden/>
    <w:unhideWhenUsed/>
    <w:qFormat/>
    <w:rsid w:val="00A10FD9"/>
    <w:pPr>
      <w:keepNext/>
      <w:keepLines/>
      <w:spacing w:after="40" w:before="80"/>
      <w:outlineLvl w:val="3"/>
    </w:pPr>
    <w:rPr>
      <w:rFonts w:cstheme="majorBidi" w:eastAsiaTheme="majorEastAsia"/>
      <w:i/>
      <w:iCs/>
      <w:color w:themeColor="accent1" w:themeShade="BF" w:val="0F4761"/>
    </w:rPr>
  </w:style>
  <w:style w:styleId="Heading5" w:type="paragraph">
    <w:name w:val="heading 5"/>
    <w:basedOn w:val="Normal"/>
    <w:next w:val="BodyText"/>
    <w:link w:val="Heading5Char"/>
    <w:uiPriority w:val="9"/>
    <w:semiHidden/>
    <w:unhideWhenUsed/>
    <w:qFormat/>
    <w:rsid w:val="00A10FD9"/>
    <w:pPr>
      <w:keepNext/>
      <w:keepLines/>
      <w:spacing w:after="40" w:before="80"/>
      <w:outlineLvl w:val="4"/>
    </w:pPr>
    <w:rPr>
      <w:rFonts w:cstheme="majorBidi" w:eastAsiaTheme="majorEastAsia"/>
      <w:color w:themeColor="accent1" w:themeShade="BF" w:val="0F4761"/>
    </w:rPr>
  </w:style>
  <w:style w:styleId="Heading6" w:type="paragraph">
    <w:name w:val="heading 6"/>
    <w:basedOn w:val="Normal"/>
    <w:next w:val="BodyText"/>
    <w:link w:val="Heading6Char"/>
    <w:uiPriority w:val="9"/>
    <w:semiHidden/>
    <w:unhideWhenUsed/>
    <w:qFormat/>
    <w:rsid w:val="00A10FD9"/>
    <w:pPr>
      <w:keepNext/>
      <w:keepLines/>
      <w:spacing w:after="0" w:before="40"/>
      <w:outlineLvl w:val="5"/>
    </w:pPr>
    <w:rPr>
      <w:rFonts w:cstheme="majorBidi" w:eastAsiaTheme="majorEastAsia"/>
      <w:i/>
      <w:iCs/>
      <w:color w:themeColor="text1" w:themeTint="A6" w:val="595959"/>
    </w:rPr>
  </w:style>
  <w:style w:styleId="Heading7" w:type="paragraph">
    <w:name w:val="heading 7"/>
    <w:basedOn w:val="Normal"/>
    <w:next w:val="BodyText"/>
    <w:link w:val="Heading7Char"/>
    <w:uiPriority w:val="9"/>
    <w:semiHidden/>
    <w:unhideWhenUsed/>
    <w:qFormat/>
    <w:rsid w:val="00A10FD9"/>
    <w:pPr>
      <w:keepNext/>
      <w:keepLines/>
      <w:spacing w:after="0" w:before="40"/>
      <w:outlineLvl w:val="6"/>
    </w:pPr>
    <w:rPr>
      <w:rFonts w:cstheme="majorBidi" w:eastAsiaTheme="majorEastAsia"/>
      <w:color w:themeColor="text1" w:themeTint="A6" w:val="595959"/>
    </w:rPr>
  </w:style>
  <w:style w:styleId="Heading8" w:type="paragraph">
    <w:name w:val="heading 8"/>
    <w:basedOn w:val="Normal"/>
    <w:next w:val="BodyText"/>
    <w:link w:val="Heading8Char"/>
    <w:uiPriority w:val="9"/>
    <w:semiHidden/>
    <w:unhideWhenUsed/>
    <w:qFormat/>
    <w:rsid w:val="00A10FD9"/>
    <w:pPr>
      <w:keepNext/>
      <w:keepLines/>
      <w:spacing w:after="0"/>
      <w:outlineLvl w:val="7"/>
    </w:pPr>
    <w:rPr>
      <w:rFonts w:cstheme="majorBidi" w:eastAsiaTheme="majorEastAsia"/>
      <w:i/>
      <w:iCs/>
      <w:color w:themeColor="text1" w:themeTint="D8" w:val="272727"/>
    </w:rPr>
  </w:style>
  <w:style w:styleId="Heading9" w:type="paragraph">
    <w:name w:val="heading 9"/>
    <w:basedOn w:val="Normal"/>
    <w:next w:val="BodyText"/>
    <w:link w:val="Heading9Char"/>
    <w:uiPriority w:val="9"/>
    <w:semiHidden/>
    <w:unhideWhenUsed/>
    <w:qFormat/>
    <w:rsid w:val="00A10FD9"/>
    <w:pPr>
      <w:keepNext/>
      <w:keepLines/>
      <w:spacing w:after="0"/>
      <w:outlineLvl w:val="8"/>
    </w:pPr>
    <w:rPr>
      <w:rFonts w:cstheme="majorBidi" w:eastAsiaTheme="majorEastAsia"/>
      <w:color w:themeColor="text1" w:themeTint="D8" w:val="272727"/>
    </w:rPr>
  </w:style>
  <w:style w:customStyle="1" w:styleId="Heading1Char" w:type="character">
    <w:name w:val="Heading 1 Char"/>
    <w:basedOn w:val="DefaultParagraphFont"/>
    <w:link w:val="Heading1"/>
    <w:uiPriority w:val="9"/>
    <w:rsid w:val="00A10FD9"/>
    <w:rPr>
      <w:rFonts w:asciiTheme="majorHAnsi" w:cstheme="majorBidi" w:eastAsiaTheme="majorEastAsia" w:hAnsiTheme="majorHAnsi"/>
      <w:color w:themeColor="accent1" w:themeShade="BF" w:val="0F4761"/>
      <w:sz w:val="40"/>
      <w:szCs w:val="40"/>
    </w:rPr>
  </w:style>
  <w:style w:customStyle="1" w:styleId="Heading2Char" w:type="character">
    <w:name w:val="Heading 2 Char"/>
    <w:basedOn w:val="DefaultParagraphFont"/>
    <w:link w:val="Heading2"/>
    <w:uiPriority w:val="9"/>
    <w:semiHidden/>
    <w:rsid w:val="00A10FD9"/>
    <w:rPr>
      <w:rFonts w:asciiTheme="majorHAnsi" w:cstheme="majorBidi" w:eastAsiaTheme="majorEastAsia" w:hAnsiTheme="majorHAnsi"/>
      <w:color w:themeColor="accent1" w:themeShade="BF" w:val="0F4761"/>
      <w:sz w:val="32"/>
      <w:szCs w:val="32"/>
    </w:rPr>
  </w:style>
  <w:style w:customStyle="1" w:styleId="Heading3Char" w:type="character">
    <w:name w:val="Heading 3 Char"/>
    <w:basedOn w:val="DefaultParagraphFont"/>
    <w:link w:val="Heading3"/>
    <w:uiPriority w:val="9"/>
    <w:semiHidden/>
    <w:rsid w:val="00A10FD9"/>
    <w:rPr>
      <w:rFonts w:cstheme="majorBidi" w:eastAsiaTheme="majorEastAsia"/>
      <w:color w:themeColor="accent1" w:themeShade="BF" w:val="0F4761"/>
      <w:sz w:val="28"/>
      <w:szCs w:val="28"/>
    </w:rPr>
  </w:style>
  <w:style w:customStyle="1" w:styleId="Heading4Char" w:type="character">
    <w:name w:val="Heading 4 Char"/>
    <w:basedOn w:val="DefaultParagraphFont"/>
    <w:link w:val="Heading4"/>
    <w:uiPriority w:val="9"/>
    <w:semiHidden/>
    <w:rsid w:val="00A10FD9"/>
    <w:rPr>
      <w:rFonts w:cstheme="majorBidi" w:eastAsiaTheme="majorEastAsia"/>
      <w:i/>
      <w:iCs/>
      <w:color w:themeColor="accent1" w:themeShade="BF" w:val="0F4761"/>
    </w:rPr>
  </w:style>
  <w:style w:customStyle="1" w:styleId="Heading5Char" w:type="character">
    <w:name w:val="Heading 5 Char"/>
    <w:basedOn w:val="DefaultParagraphFont"/>
    <w:link w:val="Heading5"/>
    <w:uiPriority w:val="9"/>
    <w:semiHidden/>
    <w:rsid w:val="00A10FD9"/>
    <w:rPr>
      <w:rFonts w:cstheme="majorBidi" w:eastAsiaTheme="majorEastAsia"/>
      <w:color w:themeColor="accent1" w:themeShade="BF" w:val="0F4761"/>
    </w:rPr>
  </w:style>
  <w:style w:customStyle="1" w:styleId="Heading6Char" w:type="character">
    <w:name w:val="Heading 6 Char"/>
    <w:basedOn w:val="DefaultParagraphFont"/>
    <w:link w:val="Heading6"/>
    <w:uiPriority w:val="9"/>
    <w:semiHidden/>
    <w:rsid w:val="00A10FD9"/>
    <w:rPr>
      <w:rFonts w:cstheme="majorBidi" w:eastAsiaTheme="majorEastAsia"/>
      <w:i/>
      <w:iCs/>
      <w:color w:themeColor="text1" w:themeTint="A6" w:val="595959"/>
    </w:rPr>
  </w:style>
  <w:style w:customStyle="1" w:styleId="Heading7Char" w:type="character">
    <w:name w:val="Heading 7 Char"/>
    <w:basedOn w:val="DefaultParagraphFont"/>
    <w:link w:val="Heading7"/>
    <w:uiPriority w:val="9"/>
    <w:semiHidden/>
    <w:rsid w:val="00A10FD9"/>
    <w:rPr>
      <w:rFonts w:cstheme="majorBidi" w:eastAsiaTheme="majorEastAsia"/>
      <w:color w:themeColor="text1" w:themeTint="A6" w:val="595959"/>
    </w:rPr>
  </w:style>
  <w:style w:customStyle="1" w:styleId="Heading8Char" w:type="character">
    <w:name w:val="Heading 8 Char"/>
    <w:basedOn w:val="DefaultParagraphFont"/>
    <w:link w:val="Heading8"/>
    <w:uiPriority w:val="9"/>
    <w:semiHidden/>
    <w:rsid w:val="00A10FD9"/>
    <w:rPr>
      <w:rFonts w:cstheme="majorBidi" w:eastAsiaTheme="majorEastAsia"/>
      <w:i/>
      <w:iCs/>
      <w:color w:themeColor="text1" w:themeTint="D8" w:val="272727"/>
    </w:rPr>
  </w:style>
  <w:style w:customStyle="1" w:styleId="Heading9Char" w:type="character">
    <w:name w:val="Heading 9 Char"/>
    <w:basedOn w:val="DefaultParagraphFont"/>
    <w:link w:val="Heading9"/>
    <w:uiPriority w:val="9"/>
    <w:semiHidden/>
    <w:rsid w:val="00A10FD9"/>
    <w:rPr>
      <w:rFonts w:cstheme="majorBidi" w:eastAsiaTheme="majorEastAsia"/>
      <w:color w:themeColor="text1" w:themeTint="D8" w:val="272727"/>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styleId="FootnoteBlockText" w:type="paragraph">
    <w:name w:val="Footnote Block Text"/>
    <w:basedOn w:val="FootnoteText"/>
    <w:next w:val="FootnoteText"/>
    <w:uiPriority w:val="9"/>
    <w:unhideWhenUsed/>
    <w:qFormat/>
    <w:pPr>
      <w:spacing w:after="100" w:before="100"/>
      <w:ind w:firstLine="0" w:left="480" w:right="480"/>
    </w:pPr>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cPr>
        <w:tcBorders>
          <w:bottom w:val="single"/>
        </w:tcBorders>
        <w:vAlign w:val="bottom"/>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b/>
      <w:color w:val="007020"/>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b/>
      <w:color w:val="008000"/>
    </w:rPr>
  </w:style>
  <w:style w:type="character" w:customStyle="1" w:styleId="CommentTok">
    <w:name w:val="CommentTok"/>
    <w:basedOn w:val="VerbatimChar"/>
    <w:rPr>
      <w:i/>
      <w:color w:val="60a0b0"/>
    </w:rPr>
  </w:style>
  <w:style w:type="character" w:customStyle="1" w:styleId="DocumentationTok">
    <w:name w:val="DocumentationTok"/>
    <w:basedOn w:val="VerbatimChar"/>
    <w:rPr>
      <w:i/>
      <w:color w:val="ba2121"/>
    </w:rPr>
  </w:style>
  <w:style w:type="character" w:customStyle="1" w:styleId="AnnotationTok">
    <w:name w:val="AnnotationTok"/>
    <w:basedOn w:val="VerbatimChar"/>
    <w:rPr>
      <w:b/>
      <w:i/>
      <w:color w:val="60a0b0"/>
    </w:rPr>
  </w:style>
  <w:style w:type="character" w:customStyle="1" w:styleId="CommentVarTok">
    <w:name w:val="CommentVarTok"/>
    <w:basedOn w:val="VerbatimChar"/>
    <w:rPr>
      <w:b/>
      <w:i/>
      <w:color w:val="60a0b0"/>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b/>
      <w:color w:val="007020"/>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b/>
      <w:i/>
      <w:color w:val="60a0b0"/>
    </w:rPr>
  </w:style>
  <w:style w:type="character" w:customStyle="1" w:styleId="WarningTok">
    <w:name w:val="WarningTok"/>
    <w:basedOn w:val="VerbatimChar"/>
    <w:rPr>
      <w:b/>
      <w:i/>
      <w:color w:val="60a0b0"/>
    </w:rPr>
  </w:style>
  <w:style w:type="character" w:customStyle="1" w:styleId="AlertTok">
    <w:name w:val="AlertTok"/>
    <w:basedOn w:val="VerbatimChar"/>
    <w:rPr>
      <w:b/>
      <w:color w:val="ff0000"/>
    </w:rPr>
  </w:style>
  <w:style w:type="character" w:customStyle="1" w:styleId="ErrorTok">
    <w:name w:val="ErrorTok"/>
    <w:basedOn w:val="VerbatimChar"/>
    <w:rPr>
      <w:b/>
      <w:color w:val="ff0000"/>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8" Target="numbering.xml" /><Relationship Type="http://schemas.openxmlformats.org/officeDocument/2006/relationships/styles" Id="rId7" Target="styles.xml" /><Relationship Type="http://schemas.openxmlformats.org/officeDocument/2006/relationships/settings" Id="rId6" Target="settings.xml" /><Relationship Type="http://schemas.openxmlformats.org/officeDocument/2006/relationships/webSettings" Id="rId5" Target="webSettings.xml" /><Relationship Type="http://schemas.openxmlformats.org/officeDocument/2006/relationships/fontTable" Id="rId4" Target="fontTable.xml" /><Relationship Type="http://schemas.openxmlformats.org/officeDocument/2006/relationships/theme" Id="rId3" Target="theme/theme1.xml" /><Relationship Type="http://schemas.openxmlformats.org/officeDocument/2006/relationships/footnotes" Id="rId2" Target="footnotes.xml" /><Relationship Type="http://schemas.openxmlformats.org/officeDocument/2006/relationships/comments" Id="rId1"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2026-07-29T01:12:14Z</dcterms:created>
  <dcterms:modified xsi:type="dcterms:W3CDTF">2026-07-29T01:12:14Z</dcterms:modified>
</cp:coreProperties>
</file>

<file path=docProps/custom.xml><?xml version="1.0" encoding="utf-8"?>
<Properties xmlns="http://schemas.openxmlformats.org/officeDocument/2006/custom-properties" xmlns:vt="http://schemas.openxmlformats.org/officeDocument/2006/docPropsVTypes"/>
</file>