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~$0.81 vs. cons $0.80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~$2.13B vs. cons $2.11B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 retail electric-delivery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~1.7% vs. cons 1.5%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5.51</m:t>
              </m:r>
              <m:r>
                <m:rPr>
                  <m:sty m:val="p"/>
                </m:rPr>
                <m:t>−</m:t>
              </m:r>
            </m:oMath>
            <w:r>
              <w:t xml:space="preserve">5.61 vs. cons $5.56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Weather-normal electric-sales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~1.5% vs. cons 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demand forecast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~3.9 GW vs. cons 3.9 GW (through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(STABILIZE)</w:t>
            </w:r>
          </w:p>
        </w:tc>
        <w:tc>
          <w:tcPr/>
          <w:p>
            <w:pPr>
              <w:pStyle w:val="Compact"/>
            </w:pPr>
            <w:r>
              <w:t xml:space="preserve">Predicted Q2 EPS of ~$0.81 versus $0.80 consensus provides little revision upside, while unchanged FY2026 guidance of</w:t>
            </w:r>
            <w:r>
              <w:t xml:space="preserve"> </w:t>
            </w:r>
            <m:oMath>
              <m:r>
                <m:t>5.51</m:t>
              </m:r>
              <m:r>
                <m:rPr>
                  <m:sty m:val="p"/>
                </m:rPr>
                <m:t>−</m:t>
              </m:r>
            </m:oMath>
            <w:r>
              <w:t xml:space="preserve">5.61 versus $5.56 consensus leaves second-half estimates broadly intact. With no implicit out-period cut, the initial valuation- and data-center-risk-driven weakness should stabilize rather than materially follow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2026-07-29T01:11:42Z</dcterms:created>
  <dcterms:modified xsi:type="dcterms:W3CDTF">2026-07-29T01:11:42Z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