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bb49df700e90021e25b5dcd393dc66082d2759"/>
    <w:p>
      <w:pPr>
        <w:pStyle w:val="Heading1"/>
      </w:pPr>
      <w:r>
        <w:t xml:space="preserve">WEC Energy Group — 2026 Q2 Earnings Preview</w:t>
      </w:r>
    </w:p>
    <w:p>
      <w:pPr>
        <w:pStyle w:val="BlockText"/>
      </w:pPr>
      <w:r>
        <w:rPr>
          <w:b/>
          <w:bCs/>
        </w:rPr>
        <w:t xml:space="preserve">Timing note:</w:t>
      </w:r>
      <w:r>
        <w:t xml:space="preserve"> </w:t>
      </w:r>
      <w:r>
        <w:t xml:space="preserve">WEC scheduled its second-quarter release for</w:t>
      </w:r>
      <w:r>
        <w:t xml:space="preserve"> </w:t>
      </w:r>
      <w:r>
        <w:rPr>
          <w:b/>
          <w:bCs/>
        </w:rPr>
        <w:t xml:space="preserve">Wednesday, July 29, 2026—today, not tomorrow</w:t>
      </w:r>
      <w:r>
        <w:t xml:space="preserve">—before the market opens, with the earnings call later the same day. This preview reflects information available before the results appeared in the research tools. (</w:t>
      </w:r>
      <w:hyperlink r:id="rId9">
        <w:r>
          <w:rPr>
            <w:rStyle w:val="Hyperlink"/>
          </w:rPr>
          <w:t xml:space="preserve">investor.wecenergygroup.com</w:t>
        </w:r>
      </w:hyperlink>
      <w:r>
        <w:t xml:space="preserve">)</w:t>
      </w:r>
    </w:p>
    <w:bookmarkStart w:id="10" w:name="executive-view"/>
    <w:p>
      <w:pPr>
        <w:pStyle w:val="Heading2"/>
      </w:pPr>
      <w:r>
        <w:t xml:space="preserve">Executive view</w:t>
      </w:r>
    </w:p>
    <w:p>
      <w:pPr>
        <w:pStyle w:val="FirstParagraph"/>
      </w:pPr>
      <w:r>
        <w:t xml:space="preserve">The headline numbers should be relatively straightforward: management guided to</w:t>
      </w:r>
      <w:r>
        <w:t xml:space="preserve"> </w:t>
      </w:r>
      <w:r>
        <w:rPr>
          <w:b/>
          <w:bCs/>
        </w:rPr>
        <w:t xml:space="preserve">Q2 EPS of</w:t>
      </w:r>
      <w:r>
        <w:rPr>
          <w:b/>
          <w:bCs/>
        </w:rPr>
        <w:t xml:space="preserve"> </w:t>
      </w:r>
      <m:oMath>
        <m:r>
          <m:t>0.76</m:t>
        </m:r>
        <m:r>
          <m:rPr>
            <m:sty m:val="p"/>
          </m:rPr>
          <m:t>–</m:t>
        </m:r>
      </m:oMath>
      <w:r>
        <w:rPr>
          <w:b/>
          <w:bCs/>
        </w:rPr>
        <w:t xml:space="preserve">0.82</w:t>
      </w:r>
      <w:r>
        <w:t xml:space="preserve">, while published consensus is approximately</w:t>
      </w:r>
      <w:r>
        <w:t xml:space="preserve"> </w:t>
      </w:r>
      <m:oMath>
        <m:r>
          <m:t>0.80</m:t>
        </m:r>
        <m:r>
          <m:rPr>
            <m:sty m:val="p"/>
          </m:rPr>
          <m:t>*</m:t>
        </m:r>
        <m:r>
          <m:rPr>
            <m:sty m:val="p"/>
          </m:rPr>
          <m:t>*</m:t>
        </m:r>
        <m:r>
          <m:rPr>
            <m:sty m:val="p"/>
          </m:rPr>
          <m:t>,</m:t>
        </m:r>
        <m:r>
          <m:t>v</m:t>
        </m:r>
        <m:r>
          <m:t>e</m:t>
        </m:r>
        <m:r>
          <m:t>r</m:t>
        </m:r>
        <m:r>
          <m:t>s</m:t>
        </m:r>
        <m:r>
          <m:t>u</m:t>
        </m:r>
        <m:r>
          <m:t>s</m:t>
        </m:r>
        <m:r>
          <m:rPr>
            <m:sty m:val="p"/>
          </m:rPr>
          <m:t>*</m:t>
        </m:r>
        <m:r>
          <m:rPr>
            <m:sty m:val="p"/>
          </m:rPr>
          <m:t>*</m:t>
        </m:r>
      </m:oMath>
      <w:r>
        <w:rPr>
          <w:b/>
          <w:bCs/>
        </w:rPr>
        <w:t xml:space="preserve">0.76</w:t>
      </w:r>
      <w:r>
        <w:t xml:space="preserve"> </w:t>
      </w:r>
      <w:r>
        <w:t xml:space="preserve">a year ago. The more consequential issues are likely to be:</w:t>
      </w:r>
    </w:p>
    <w:p>
      <w:pPr>
        <w:pStyle w:val="Compact"/>
        <w:numPr>
          <w:ilvl w:val="0"/>
          <w:numId w:val="1001"/>
        </w:numPr>
      </w:pPr>
      <w:r>
        <w:t xml:space="preserve">Whether WEC reaffirms or narrows its</w:t>
      </w:r>
      <w:r>
        <w:t xml:space="preserve"> </w:t>
      </w:r>
      <m:oMath>
        <m:r>
          <m:t>5.51</m:t>
        </m:r>
        <m:r>
          <m:rPr>
            <m:sty m:val="p"/>
          </m:rPr>
          <m:t>–</m:t>
        </m:r>
      </m:oMath>
      <w:r>
        <w:rPr>
          <w:b/>
          <w:bCs/>
        </w:rPr>
        <w:t xml:space="preserve">5.61 full-year EPS guidance</w:t>
      </w:r>
      <w:r>
        <w:t xml:space="preserve">.</w:t>
      </w:r>
    </w:p>
    <w:p>
      <w:pPr>
        <w:pStyle w:val="Compact"/>
        <w:numPr>
          <w:ilvl w:val="0"/>
          <w:numId w:val="1001"/>
        </w:numPr>
      </w:pPr>
      <w:r>
        <w:t xml:space="preserve">Progress—and new legal/regulatory friction—around its Wisconsin data-center strategy.</w:t>
      </w:r>
    </w:p>
    <w:p>
      <w:pPr>
        <w:pStyle w:val="Compact"/>
        <w:numPr>
          <w:ilvl w:val="0"/>
          <w:numId w:val="1001"/>
        </w:numPr>
      </w:pPr>
      <w:r>
        <w:t xml:space="preserve">Execution of the unusually large</w:t>
      </w:r>
      <w:r>
        <w:t xml:space="preserve"> </w:t>
      </w:r>
      <w:r>
        <w:rPr>
          <w:b/>
          <w:bCs/>
        </w:rPr>
        <w:t xml:space="preserve">$37.5 billion 2026–2030 capital plan</w:t>
      </w:r>
      <w:r>
        <w:t xml:space="preserve">.</w:t>
      </w:r>
    </w:p>
    <w:p>
      <w:pPr>
        <w:pStyle w:val="Compact"/>
        <w:numPr>
          <w:ilvl w:val="0"/>
          <w:numId w:val="1001"/>
        </w:numPr>
      </w:pPr>
      <w:r>
        <w:t xml:space="preserve">Whether operating-cost timing, interest expense and equity issuance begin to offset rate-base growth.</w:t>
      </w:r>
    </w:p>
    <w:p>
      <w:pPr>
        <w:pStyle w:val="Compact"/>
        <w:numPr>
          <w:ilvl w:val="0"/>
          <w:numId w:val="1001"/>
        </w:numPr>
      </w:pPr>
      <w:r>
        <w:t xml:space="preserve">Updates on Wisconsin and Illinois rate cases that will determine 2027 earnings support.</w:t>
      </w:r>
    </w:p>
    <w:p>
      <w:pPr>
        <w:pStyle w:val="FirstParagraph"/>
      </w:pPr>
      <w:r>
        <w:t xml:space="preserve">My base case is</w:t>
      </w:r>
      <w:r>
        <w:t xml:space="preserve"> </w:t>
      </w:r>
      <w:r>
        <w:rPr>
          <w:b/>
          <w:bCs/>
        </w:rPr>
        <w:t xml:space="preserve">EPS near $0.80 and unchanged annual guidance</w:t>
      </w:r>
      <w:r>
        <w:t xml:space="preserve">. A small accounting beat is unlikely to drive the stock by itself; investors will care more about whether management can preserve the risk protections, construction schedule and expected returns behind the Microsoft and Vantage/Oracle load-growth opportunity.</w:t>
      </w:r>
    </w:p>
    <w:bookmarkEnd w:id="10"/>
    <w:bookmarkStart w:id="12" w:name="earnings-scorecard"/>
    <w:p>
      <w:pPr>
        <w:pStyle w:val="Heading2"/>
      </w:pPr>
      <w:r>
        <w:t xml:space="preserve">Earnings scorecard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Investor benchmark</w:t>
            </w:r>
          </w:p>
        </w:tc>
      </w:tr>
      <w:tr>
        <w:tc>
          <w:tcPr/>
          <w:p>
            <w:pPr>
              <w:pStyle w:val="Compact"/>
            </w:pPr>
            <w:r>
              <w:t xml:space="preserve">Q2 EPS guidance</w:t>
            </w:r>
          </w:p>
        </w:tc>
        <w:tc>
          <w:tcPr/>
          <w:p>
            <w:pPr>
              <w:pStyle w:val="Compact"/>
              <w:jc w:val="right"/>
            </w:pPr>
            <m:oMath>
              <m:r>
                <m:t>0.76</m:t>
              </m:r>
              <m:r>
                <m:rPr>
                  <m:sty m:val="p"/>
                </m:rPr>
                <m:t>–</m:t>
              </m:r>
            </m:oMath>
            <w:r>
              <w:rPr>
                <w:b/>
                <w:bCs/>
              </w:rPr>
              <w:t xml:space="preserve">0.82</w:t>
            </w:r>
          </w:p>
        </w:tc>
      </w:tr>
      <w:tr>
        <w:tc>
          <w:tcPr/>
          <w:p>
            <w:pPr>
              <w:pStyle w:val="Compact"/>
            </w:pPr>
            <w:r>
              <w:t xml:space="preserve">Published consensus EPS</w:t>
            </w:r>
          </w:p>
        </w:tc>
        <w:tc>
          <w:tcPr/>
          <w:p>
            <w:pPr>
              <w:pStyle w:val="Compact"/>
              <w:jc w:val="right"/>
            </w:pPr>
            <w:r>
              <w:rPr>
                <w:b/>
                <w:bCs/>
              </w:rPr>
              <w:t xml:space="preserve">~$0.80</w:t>
            </w:r>
          </w:p>
        </w:tc>
      </w:tr>
      <w:tr>
        <w:tc>
          <w:tcPr/>
          <w:p>
            <w:pPr>
              <w:pStyle w:val="Compact"/>
            </w:pPr>
            <w:r>
              <w:t xml:space="preserve">Q2 2025 EPS</w:t>
            </w:r>
          </w:p>
        </w:tc>
        <w:tc>
          <w:tcPr/>
          <w:p>
            <w:pPr>
              <w:pStyle w:val="Compact"/>
              <w:jc w:val="right"/>
            </w:pPr>
            <w:r>
              <w:rPr>
                <w:b/>
                <w:bCs/>
              </w:rPr>
              <w:t xml:space="preserve">$0.76</w:t>
            </w:r>
          </w:p>
        </w:tc>
      </w:tr>
      <w:tr>
        <w:tc>
          <w:tcPr/>
          <w:p>
            <w:pPr>
              <w:pStyle w:val="Compact"/>
            </w:pPr>
            <w:r>
              <w:t xml:space="preserve">FY2026 EPS guidance</w:t>
            </w:r>
          </w:p>
        </w:tc>
        <w:tc>
          <w:tcPr/>
          <w:p>
            <w:pPr>
              <w:pStyle w:val="Compact"/>
              <w:jc w:val="right"/>
            </w:pPr>
            <m:oMath>
              <m:r>
                <m:t>5.51</m:t>
              </m:r>
              <m:r>
                <m:rPr>
                  <m:sty m:val="p"/>
                </m:rPr>
                <m:t>–</m:t>
              </m:r>
            </m:oMath>
            <w:r>
              <w:rPr>
                <w:b/>
                <w:bCs/>
              </w:rPr>
              <w:t xml:space="preserve">5.61</w:t>
            </w:r>
          </w:p>
        </w:tc>
      </w:tr>
      <w:tr>
        <w:tc>
          <w:tcPr/>
          <w:p>
            <w:pPr>
              <w:pStyle w:val="Compact"/>
            </w:pPr>
            <w:r>
              <w:t xml:space="preserve">FY2026 midpoint</w:t>
            </w:r>
          </w:p>
        </w:tc>
        <w:tc>
          <w:tcPr/>
          <w:p>
            <w:pPr>
              <w:pStyle w:val="Compact"/>
              <w:jc w:val="right"/>
            </w:pPr>
            <w:r>
              <w:rPr>
                <w:b/>
                <w:bCs/>
              </w:rPr>
              <w:t xml:space="preserve">$5.56</w:t>
            </w:r>
          </w:p>
        </w:tc>
      </w:tr>
      <w:tr>
        <w:tc>
          <w:tcPr/>
          <w:p>
            <w:pPr>
              <w:pStyle w:val="Compact"/>
            </w:pPr>
            <w:r>
              <w:t xml:space="preserve">Q1 2026 EPS</w:t>
            </w:r>
          </w:p>
        </w:tc>
        <w:tc>
          <w:tcPr/>
          <w:p>
            <w:pPr>
              <w:pStyle w:val="Compact"/>
              <w:jc w:val="right"/>
            </w:pPr>
            <w:r>
              <w:rPr>
                <w:b/>
                <w:bCs/>
              </w:rPr>
              <w:t xml:space="preserve">$2.45</w:t>
            </w:r>
          </w:p>
        </w:tc>
      </w:tr>
      <w:tr>
        <w:tc>
          <w:tcPr/>
          <w:p>
            <w:pPr>
              <w:pStyle w:val="Compact"/>
            </w:pPr>
            <w:r>
              <w:t xml:space="preserve">Expected H1 EPS at $0.80 Q2</w:t>
            </w:r>
          </w:p>
        </w:tc>
        <w:tc>
          <w:tcPr/>
          <w:p>
            <w:pPr>
              <w:pStyle w:val="Compact"/>
              <w:jc w:val="right"/>
            </w:pPr>
            <w:r>
              <w:rPr>
                <w:b/>
                <w:bCs/>
              </w:rPr>
              <w:t xml:space="preserve">$3.25</w:t>
            </w:r>
          </w:p>
        </w:tc>
      </w:tr>
      <w:tr>
        <w:tc>
          <w:tcPr/>
          <w:p>
            <w:pPr>
              <w:pStyle w:val="Compact"/>
            </w:pPr>
            <w:r>
              <w:t xml:space="preserve">Remaining H2 EPS needed for FY midpoint</w:t>
            </w:r>
          </w:p>
        </w:tc>
        <w:tc>
          <w:tcPr/>
          <w:p>
            <w:pPr>
              <w:pStyle w:val="Compact"/>
              <w:jc w:val="right"/>
            </w:pPr>
            <w:r>
              <w:rPr>
                <w:b/>
                <w:bCs/>
              </w:rPr>
              <w:t xml:space="preserve">$2.31</w:t>
            </w:r>
          </w:p>
        </w:tc>
      </w:tr>
    </w:tbl>
    <w:p>
      <w:pPr>
        <w:pStyle w:val="BodyText"/>
      </w:pPr>
      <w:r>
        <w:t xml:space="preserve">WEC began the year strongly: Q1 EPS rose to $2.45 from $2.27, with weather-normal electric deliveries up 1.3% and large commercial and industrial demand providing the strongest volume growth. Management reaffirmed annual guidance after that result. (</w:t>
      </w:r>
      <w:hyperlink r:id="rId11">
        <w:r>
          <w:rPr>
            <w:rStyle w:val="Hyperlink"/>
          </w:rPr>
          <w:t xml:space="preserve">investor.wecenergygroup.com</w:t>
        </w:r>
      </w:hyperlink>
      <w:r>
        <w:t xml:space="preserve">)</w:t>
      </w:r>
    </w:p>
    <w:bookmarkEnd w:id="12"/>
    <w:bookmarkStart w:id="16" w:name="what-should-drive-q2"/>
    <w:p>
      <w:pPr>
        <w:pStyle w:val="Heading2"/>
      </w:pPr>
      <w:r>
        <w:t xml:space="preserve">What should drive Q2</w:t>
      </w:r>
    </w:p>
    <w:bookmarkStart w:id="13" w:name="X21b7a5433af717f337365a6da35ca79b0d5ca2b"/>
    <w:p>
      <w:pPr>
        <w:pStyle w:val="Heading3"/>
      </w:pPr>
      <w:r>
        <w:t xml:space="preserve">1. Rate-base growth remains the core positive</w:t>
      </w:r>
    </w:p>
    <w:p>
      <w:pPr>
        <w:pStyle w:val="FirstParagraph"/>
      </w:pPr>
      <w:r>
        <w:t xml:space="preserve">New Wisconsin rates effective January 1, continued capital investment, AFUDC earnings on projects under construction and growth at American Transmission Company should remain the principal year-over-year tailwinds.</w:t>
      </w:r>
    </w:p>
    <w:p>
      <w:pPr>
        <w:pStyle w:val="BodyText"/>
      </w:pPr>
      <w:r>
        <w:t xml:space="preserve">The caveat is earnings quality. Q1 benefited from favorable timing in O&amp;M and taxes, and management said some of the O&amp;M benefit would reverse through the rest of 2026. Accordingly, a Q2 result near the midpoint may still represent healthy underlying execution even if growth looks modest compared with Q1.</w:t>
      </w:r>
    </w:p>
    <w:p>
      <w:pPr>
        <w:pStyle w:val="BodyText"/>
      </w:pPr>
      <w:r>
        <w:t xml:space="preserve">Investors should watch for:</w:t>
      </w:r>
    </w:p>
    <w:p>
      <w:pPr>
        <w:pStyle w:val="Compact"/>
        <w:numPr>
          <w:ilvl w:val="0"/>
          <w:numId w:val="1002"/>
        </w:numPr>
      </w:pPr>
      <w:r>
        <w:t xml:space="preserve">Rate-base and AFUDC contribution per share.</w:t>
      </w:r>
    </w:p>
    <w:p>
      <w:pPr>
        <w:pStyle w:val="Compact"/>
        <w:numPr>
          <w:ilvl w:val="0"/>
          <w:numId w:val="1002"/>
        </w:numPr>
      </w:pPr>
      <w:r>
        <w:t xml:space="preserve">Whether full-year day-to-day O&amp;M growth remains</w:t>
      </w:r>
      <w:r>
        <w:t xml:space="preserve"> </w:t>
      </w:r>
      <w:r>
        <w:rPr>
          <w:b/>
          <w:bCs/>
        </w:rPr>
        <w:t xml:space="preserve">3%–5%</w:t>
      </w:r>
      <w:r>
        <w:t xml:space="preserve">.</w:t>
      </w:r>
    </w:p>
    <w:p>
      <w:pPr>
        <w:pStyle w:val="Compact"/>
        <w:numPr>
          <w:ilvl w:val="0"/>
          <w:numId w:val="1002"/>
        </w:numPr>
      </w:pPr>
      <w:r>
        <w:t xml:space="preserve">Higher depreciation as new assets enter service.</w:t>
      </w:r>
    </w:p>
    <w:p>
      <w:pPr>
        <w:pStyle w:val="Compact"/>
        <w:numPr>
          <w:ilvl w:val="0"/>
          <w:numId w:val="1002"/>
        </w:numPr>
      </w:pPr>
      <w:r>
        <w:t xml:space="preserve">Corporate interest expense and the effect of higher average debt balances.</w:t>
      </w:r>
    </w:p>
    <w:p>
      <w:pPr>
        <w:pStyle w:val="Compact"/>
        <w:numPr>
          <w:ilvl w:val="0"/>
          <w:numId w:val="1002"/>
        </w:numPr>
      </w:pPr>
      <w:r>
        <w:t xml:space="preserve">Any tax timing that shifts earnings between quarters.</w:t>
      </w:r>
    </w:p>
    <w:bookmarkEnd w:id="13"/>
    <w:bookmarkStart w:id="15" w:name="X19a1c816f343c8e9ba5dd21e96eee473b4cbd5e"/>
    <w:p>
      <w:pPr>
        <w:pStyle w:val="Heading3"/>
      </w:pPr>
      <w:r>
        <w:t xml:space="preserve">2. Electric demand should be healthy, but the major data-center ramp is still ahead</w:t>
      </w:r>
    </w:p>
    <w:p>
      <w:pPr>
        <w:pStyle w:val="FirstParagraph"/>
      </w:pPr>
      <w:r>
        <w:t xml:space="preserve">WEC entered the quarter expecting roughly</w:t>
      </w:r>
      <w:r>
        <w:t xml:space="preserve"> </w:t>
      </w:r>
      <w:r>
        <w:rPr>
          <w:b/>
          <w:bCs/>
        </w:rPr>
        <w:t xml:space="preserve">1.5% weather-normal electric-sales growth for 2026</w:t>
      </w:r>
      <w:r>
        <w:t xml:space="preserve">. Q1 was broadly consistent with that outlook, led by large commercial and industrial customers.</w:t>
      </w:r>
    </w:p>
    <w:p>
      <w:pPr>
        <w:pStyle w:val="BodyText"/>
      </w:pPr>
      <w:r>
        <w:t xml:space="preserve">Late-June heat in southern Wisconsin may have produced a modest volume benefit, although only part of the heat event fell within Q2 and storm or operating costs could offset some of the upside. The larger investment thesis is not current-quarter weather—it is the potential addition of</w:t>
      </w:r>
      <w:r>
        <w:t xml:space="preserve"> </w:t>
      </w:r>
      <w:r>
        <w:rPr>
          <w:b/>
          <w:bCs/>
        </w:rPr>
        <w:t xml:space="preserve">3.9 GW of demand through 2030</w:t>
      </w:r>
      <w:r>
        <w:t xml:space="preserve">, including Microsoft’s southeastern Wisconsin buildout and the Vantage campus serving Oracle/OpenAI in Port Washington. (</w:t>
      </w:r>
      <w:hyperlink r:id="rId14">
        <w:r>
          <w:rPr>
            <w:rStyle w:val="Hyperlink"/>
          </w:rPr>
          <w:t xml:space="preserve">city.milwaukee.gov</w:t>
        </w:r>
      </w:hyperlink>
      <w:r>
        <w:t xml:space="preserve">)</w:t>
      </w:r>
    </w:p>
    <w:bookmarkEnd w:id="15"/>
    <w:bookmarkEnd w:id="16"/>
    <w:bookmarkStart w:id="19" w:name="X8c80b6a03d83724fa8b2b1c380ae8559fa5dd2f"/>
    <w:p>
      <w:pPr>
        <w:pStyle w:val="Heading2"/>
      </w:pPr>
      <w:r>
        <w:t xml:space="preserve">The call’s central issue: data-center tariffs and Oracle</w:t>
      </w:r>
    </w:p>
    <w:p>
      <w:pPr>
        <w:pStyle w:val="FirstParagraph"/>
      </w:pPr>
      <w:r>
        <w:t xml:space="preserve">The Wisconsin Public Service Commission approved a Very Large Customer tariff in April, lowering the eligibility threshold to 100 MW and establishing dedicated-generation terms designed to prevent ordinary customers and WEC shareholders from absorbing data-center costs. The structure includes a</w:t>
      </w:r>
      <w:r>
        <w:t xml:space="preserve"> </w:t>
      </w:r>
      <w:r>
        <w:rPr>
          <w:b/>
          <w:bCs/>
        </w:rPr>
        <w:t xml:space="preserve">10.48%–10.98% ROE range and 57% equity ratio</w:t>
      </w:r>
      <w:r>
        <w:t xml:space="preserve"> </w:t>
      </w:r>
      <w:r>
        <w:t xml:space="preserve">for dedicated resources. (</w:t>
      </w:r>
      <w:hyperlink r:id="rId17">
        <w:r>
          <w:rPr>
            <w:rStyle w:val="Hyperlink"/>
          </w:rPr>
          <w:t xml:space="preserve">content.govdelivery.com</w:t>
        </w:r>
      </w:hyperlink>
      <w:r>
        <w:t xml:space="preserve">)</w:t>
      </w:r>
    </w:p>
    <w:p>
      <w:pPr>
        <w:pStyle w:val="BodyText"/>
      </w:pPr>
      <w:r>
        <w:t xml:space="preserve">Since Q1, however, the credit-support provisions have become contentious:</w:t>
      </w:r>
    </w:p>
    <w:p>
      <w:pPr>
        <w:pStyle w:val="Compact"/>
        <w:numPr>
          <w:ilvl w:val="0"/>
          <w:numId w:val="1003"/>
        </w:numPr>
      </w:pPr>
      <w:r>
        <w:t xml:space="preserve">Oracle filed suit on</w:t>
      </w:r>
      <w:r>
        <w:t xml:space="preserve"> </w:t>
      </w:r>
      <w:r>
        <w:rPr>
          <w:b/>
          <w:bCs/>
        </w:rPr>
        <w:t xml:space="preserve">June 19, 2026</w:t>
      </w:r>
      <w:r>
        <w:t xml:space="preserve">, challenging financial-security and credit requirements attached to the tariff.</w:t>
      </w:r>
    </w:p>
    <w:p>
      <w:pPr>
        <w:pStyle w:val="Compact"/>
        <w:numPr>
          <w:ilvl w:val="0"/>
          <w:numId w:val="1003"/>
        </w:numPr>
      </w:pPr>
      <w:r>
        <w:t xml:space="preserve">WEC, Vantage and Cloverleaf separately asked the PSC to reconsider those requirements.</w:t>
      </w:r>
    </w:p>
    <w:p>
      <w:pPr>
        <w:pStyle w:val="Compact"/>
        <w:numPr>
          <w:ilvl w:val="0"/>
          <w:numId w:val="1003"/>
        </w:numPr>
      </w:pPr>
      <w:r>
        <w:t xml:space="preserve">The challenge appears focused on collateral and credit support—not the entire tariff or the underlying data-center development. (</w:t>
      </w:r>
      <w:hyperlink r:id="rId18">
        <w:r>
          <w:rPr>
            <w:rStyle w:val="Hyperlink"/>
          </w:rPr>
          <w:t xml:space="preserve">latitudemedia.com</w:t>
        </w:r>
      </w:hyperlink>
      <w:r>
        <w:t xml:space="preserve">)</w:t>
      </w:r>
    </w:p>
    <w:p>
      <w:pPr>
        <w:pStyle w:val="FirstParagraph"/>
      </w:pPr>
      <w:r>
        <w:t xml:space="preserve">This creates a meaningful trade-off for investors. Less onerous collateral could facilitate the data-center buildout, but weaker security could increase counterparty or stranded-asset exposure. The best outcome would preserve both project momentum and clear protection for WEC’s balance sheet and non-data-center customers.</w:t>
      </w:r>
    </w:p>
    <w:p>
      <w:pPr>
        <w:pStyle w:val="BodyText"/>
      </w:pPr>
      <w:r>
        <w:rPr>
          <w:b/>
          <w:bCs/>
        </w:rPr>
        <w:t xml:space="preserve">Questions management needs to answer:</w:t>
      </w:r>
    </w:p>
    <w:p>
      <w:pPr>
        <w:pStyle w:val="Compact"/>
        <w:numPr>
          <w:ilvl w:val="0"/>
          <w:numId w:val="1004"/>
        </w:numPr>
      </w:pPr>
      <w:r>
        <w:t xml:space="preserve">Does the dispute affect the timing of the initial 1.3 GW Vantage load?</w:t>
      </w:r>
    </w:p>
    <w:p>
      <w:pPr>
        <w:pStyle w:val="Compact"/>
        <w:numPr>
          <w:ilvl w:val="0"/>
          <w:numId w:val="1004"/>
        </w:numPr>
      </w:pPr>
      <w:r>
        <w:t xml:space="preserve">Are WEC’s construction commitments or capital outlays continuing while the case proceeds?</w:t>
      </w:r>
    </w:p>
    <w:p>
      <w:pPr>
        <w:pStyle w:val="Compact"/>
        <w:numPr>
          <w:ilvl w:val="0"/>
          <w:numId w:val="1004"/>
        </w:numPr>
      </w:pPr>
      <w:r>
        <w:t xml:space="preserve">Has Oracle or Vantage provided alternative credit support?</w:t>
      </w:r>
    </w:p>
    <w:p>
      <w:pPr>
        <w:pStyle w:val="Compact"/>
        <w:numPr>
          <w:ilvl w:val="0"/>
          <w:numId w:val="1004"/>
        </w:numPr>
      </w:pPr>
      <w:r>
        <w:t xml:space="preserve">Could a resolution modify the tariff’s ROE, equity layer or cost-allocation protections?</w:t>
      </w:r>
    </w:p>
    <w:p>
      <w:pPr>
        <w:pStyle w:val="Compact"/>
        <w:numPr>
          <w:ilvl w:val="0"/>
          <w:numId w:val="1004"/>
        </w:numPr>
      </w:pPr>
      <w:r>
        <w:t xml:space="preserve">Is the previously discussed additional data-center announcement still expected around Q3?</w:t>
      </w:r>
    </w:p>
    <w:bookmarkEnd w:id="19"/>
    <w:bookmarkStart w:id="21" w:name="illinois-has-become-less-of-an-overhang"/>
    <w:p>
      <w:pPr>
        <w:pStyle w:val="Heading2"/>
      </w:pPr>
      <w:r>
        <w:t xml:space="preserve">Illinois has become less of an overhang</w:t>
      </w:r>
    </w:p>
    <w:p>
      <w:pPr>
        <w:pStyle w:val="FirstParagraph"/>
      </w:pPr>
      <w:r>
        <w:t xml:space="preserve">The Illinois Commerce Commission approved settlements resolving Peoples Gas’ 2017–2023 QIP cases and the Peoples Gas/North Shore Gas uncollectible-expense cases. The agreements remove $130 million from Peoples Gas’ delivery rate base and provide $125 million of customer credits over three years. WEC had already recognized the related charge, so the approval is more important as</w:t>
      </w:r>
      <w:r>
        <w:t xml:space="preserve"> </w:t>
      </w:r>
      <w:r>
        <w:rPr>
          <w:b/>
          <w:bCs/>
        </w:rPr>
        <w:t xml:space="preserve">regulatory de-risking</w:t>
      </w:r>
      <w:r>
        <w:t xml:space="preserve"> </w:t>
      </w:r>
      <w:r>
        <w:t xml:space="preserve">than as a new Q2 earnings item. (</w:t>
      </w:r>
      <w:hyperlink r:id="rId20">
        <w:r>
          <w:rPr>
            <w:rStyle w:val="Hyperlink"/>
          </w:rPr>
          <w:t xml:space="preserve">icc.illinois.gov</w:t>
        </w:r>
      </w:hyperlink>
      <w:r>
        <w:t xml:space="preserve">)</w:t>
      </w:r>
    </w:p>
    <w:p>
      <w:pPr>
        <w:pStyle w:val="BodyText"/>
      </w:pPr>
      <w:r>
        <w:t xml:space="preserve">Attention now shifts to the pending Illinois rate cases and the pipe-retirement program. WEC expects annual pipe-replacement investment to ramp toward roughly $500 million in 2028, making constructive 2027 rate treatment important to the capital plan and credit metrics.</w:t>
      </w:r>
    </w:p>
    <w:bookmarkEnd w:id="21"/>
    <w:bookmarkStart w:id="23" w:name="capital-execution-and-financing"/>
    <w:p>
      <w:pPr>
        <w:pStyle w:val="Heading2"/>
      </w:pPr>
      <w:r>
        <w:t xml:space="preserve">Capital execution and financing</w:t>
      </w:r>
    </w:p>
    <w:p>
      <w:pPr>
        <w:pStyle w:val="FirstParagraph"/>
      </w:pPr>
      <w:r>
        <w:t xml:space="preserve">WEC’s five-year plan calls for</w:t>
      </w:r>
      <w:r>
        <w:t xml:space="preserve"> </w:t>
      </w:r>
      <w:r>
        <w:rPr>
          <w:b/>
          <w:bCs/>
        </w:rPr>
        <w:t xml:space="preserve">$37.5 billion</w:t>
      </w:r>
      <w:r>
        <w:t xml:space="preserve"> </w:t>
      </w:r>
      <w:r>
        <w:t xml:space="preserve">of investment, including approximately:</w:t>
      </w:r>
    </w:p>
    <w:p>
      <w:pPr>
        <w:pStyle w:val="Compact"/>
        <w:numPr>
          <w:ilvl w:val="0"/>
          <w:numId w:val="1005"/>
        </w:numPr>
      </w:pPr>
      <w:r>
        <w:t xml:space="preserve">$20.3 billion in electric generation.</w:t>
      </w:r>
    </w:p>
    <w:p>
      <w:pPr>
        <w:pStyle w:val="Compact"/>
        <w:numPr>
          <w:ilvl w:val="0"/>
          <w:numId w:val="1005"/>
        </w:numPr>
      </w:pPr>
      <w:r>
        <w:t xml:space="preserve">$7.1 billion in gas distribution.</w:t>
      </w:r>
    </w:p>
    <w:p>
      <w:pPr>
        <w:pStyle w:val="Compact"/>
        <w:numPr>
          <w:ilvl w:val="0"/>
          <w:numId w:val="1005"/>
        </w:numPr>
      </w:pPr>
      <w:r>
        <w:t xml:space="preserve">$4.7 billion in electric distribution.</w:t>
      </w:r>
    </w:p>
    <w:p>
      <w:pPr>
        <w:pStyle w:val="Compact"/>
        <w:numPr>
          <w:ilvl w:val="0"/>
          <w:numId w:val="1005"/>
        </w:numPr>
      </w:pPr>
      <w:r>
        <w:t xml:space="preserve">$4.1 billion representing WEC’s share of ATC investment.</w:t>
      </w:r>
    </w:p>
    <w:p>
      <w:pPr>
        <w:pStyle w:val="Compact"/>
        <w:numPr>
          <w:ilvl w:val="0"/>
          <w:numId w:val="1005"/>
        </w:numPr>
      </w:pPr>
      <w:r>
        <w:t xml:space="preserve">$1.3 billion in Wisconsin LNG capacity.</w:t>
      </w:r>
    </w:p>
    <w:p>
      <w:pPr>
        <w:pStyle w:val="FirstParagraph"/>
      </w:pPr>
      <w:r>
        <w:t xml:space="preserve">The plan supports management’s</w:t>
      </w:r>
      <w:r>
        <w:t xml:space="preserve"> </w:t>
      </w:r>
      <w:r>
        <w:rPr>
          <w:b/>
          <w:bCs/>
        </w:rPr>
        <w:t xml:space="preserve">7%–8% long-term EPS growth target</w:t>
      </w:r>
      <w:r>
        <w:t xml:space="preserve">, with growth expected to move into the upper half of that range beginning in 2028. (</w:t>
      </w:r>
      <w:hyperlink r:id="rId22">
        <w:r>
          <w:rPr>
            <w:rStyle w:val="Hyperlink"/>
          </w:rPr>
          <w:t xml:space="preserve">sec.gov</w:t>
        </w:r>
      </w:hyperlink>
      <w:r>
        <w:t xml:space="preserve">)</w:t>
      </w:r>
    </w:p>
    <w:p>
      <w:pPr>
        <w:pStyle w:val="BodyText"/>
      </w:pPr>
      <w:r>
        <w:t xml:space="preserve">The report should provide updates on:</w:t>
      </w:r>
    </w:p>
    <w:p>
      <w:pPr>
        <w:pStyle w:val="Compact"/>
        <w:numPr>
          <w:ilvl w:val="0"/>
          <w:numId w:val="1006"/>
        </w:numPr>
      </w:pPr>
      <w:r>
        <w:t xml:space="preserve">Oak Creek combustion turbines and Paris RICE generation.</w:t>
      </w:r>
    </w:p>
    <w:p>
      <w:pPr>
        <w:pStyle w:val="Compact"/>
        <w:numPr>
          <w:ilvl w:val="0"/>
          <w:numId w:val="1006"/>
        </w:numPr>
      </w:pPr>
      <w:r>
        <w:t xml:space="preserve">Renewable and battery projects scheduled for 2026–2029.</w:t>
      </w:r>
    </w:p>
    <w:p>
      <w:pPr>
        <w:pStyle w:val="Compact"/>
        <w:numPr>
          <w:ilvl w:val="0"/>
          <w:numId w:val="1006"/>
        </w:numPr>
      </w:pPr>
      <w:r>
        <w:t xml:space="preserve">Transmission approval for the Vantage site.</w:t>
      </w:r>
    </w:p>
    <w:p>
      <w:pPr>
        <w:pStyle w:val="Compact"/>
        <w:numPr>
          <w:ilvl w:val="0"/>
          <w:numId w:val="1006"/>
        </w:numPr>
      </w:pPr>
      <w:r>
        <w:t xml:space="preserve">Potential gas-fired replacement capacity as the Point Beach contracts approach expiration.</w:t>
      </w:r>
    </w:p>
    <w:p>
      <w:pPr>
        <w:pStyle w:val="Compact"/>
        <w:numPr>
          <w:ilvl w:val="0"/>
          <w:numId w:val="1006"/>
        </w:numPr>
      </w:pPr>
      <w:r>
        <w:t xml:space="preserve">Solar equipment tariffs, supply-chain costs and tax-credit qualification.</w:t>
      </w:r>
    </w:p>
    <w:p>
      <w:pPr>
        <w:pStyle w:val="Compact"/>
        <w:numPr>
          <w:ilvl w:val="0"/>
          <w:numId w:val="1006"/>
        </w:numPr>
      </w:pPr>
      <w:r>
        <w:t xml:space="preserve">2026 equity issuance.</w:t>
      </w:r>
    </w:p>
    <w:p>
      <w:pPr>
        <w:pStyle w:val="FirstParagraph"/>
      </w:pPr>
      <w:r>
        <w:t xml:space="preserve">WEC expected to issue as much as</w:t>
      </w:r>
      <w:r>
        <w:t xml:space="preserve"> </w:t>
      </w:r>
      <w:r>
        <w:rPr>
          <w:b/>
          <w:bCs/>
        </w:rPr>
        <w:t xml:space="preserve">$1.1 billion of common equity in 2026</w:t>
      </w:r>
      <w:r>
        <w:t xml:space="preserve"> </w:t>
      </w:r>
      <w:r>
        <w:t xml:space="preserve">and had accounted for approximately $455 million through Q1, including forward ATM contracts. Funding remains manageable, but investors should monitor dilution: Q1 diluted shares were about 2.8% higher year over year.</w:t>
      </w:r>
    </w:p>
    <w:bookmarkEnd w:id="23"/>
    <w:bookmarkStart w:id="24" w:name="valuation-and-expectations"/>
    <w:p>
      <w:pPr>
        <w:pStyle w:val="Heading2"/>
      </w:pPr>
      <w:r>
        <w:t xml:space="preserve">Valuation and expectations</w:t>
      </w:r>
    </w:p>
    <w:p>
      <w:pPr>
        <w:pStyle w:val="FirstParagraph"/>
      </w:pPr>
      <w:r>
        <w:t xml:space="preserve">At the July 28 close of approximately</w:t>
      </w:r>
      <w:r>
        <w:t xml:space="preserve"> </w:t>
      </w:r>
      <w:r>
        <w:rPr>
          <w:b/>
          <w:bCs/>
        </w:rPr>
        <w:t xml:space="preserve">$113.64</w:t>
      </w:r>
      <w:r>
        <w:t xml:space="preserve">, WEC traded at roughly:</w:t>
      </w:r>
    </w:p>
    <w:p>
      <w:pPr>
        <w:pStyle w:val="Compact"/>
        <w:numPr>
          <w:ilvl w:val="0"/>
          <w:numId w:val="1007"/>
        </w:numPr>
      </w:pPr>
      <w:r>
        <w:rPr>
          <w:b/>
          <w:bCs/>
        </w:rPr>
        <w:t xml:space="preserve">20.4 times</w:t>
      </w:r>
      <w:r>
        <w:t xml:space="preserve"> </w:t>
      </w:r>
      <w:r>
        <w:t xml:space="preserve">the midpoint of 2026 EPS guidance.</w:t>
      </w:r>
    </w:p>
    <w:p>
      <w:pPr>
        <w:pStyle w:val="Compact"/>
        <w:numPr>
          <w:ilvl w:val="0"/>
          <w:numId w:val="1007"/>
        </w:numPr>
      </w:pPr>
      <w:r>
        <w:t xml:space="preserve">A</w:t>
      </w:r>
      <w:r>
        <w:t xml:space="preserve"> </w:t>
      </w:r>
      <w:r>
        <w:rPr>
          <w:b/>
          <w:bCs/>
        </w:rPr>
        <w:t xml:space="preserve">3.35% indicated dividend yield</w:t>
      </w:r>
      <w:r>
        <w:t xml:space="preserve">, based on the $3.81 annual dividend rate.</w:t>
      </w:r>
    </w:p>
    <w:p>
      <w:pPr>
        <w:pStyle w:val="Compact"/>
        <w:numPr>
          <w:ilvl w:val="0"/>
          <w:numId w:val="1007"/>
        </w:numPr>
      </w:pPr>
      <w:r>
        <w:t xml:space="preserve">A year-to-date price gain of about</w:t>
      </w:r>
      <w:r>
        <w:t xml:space="preserve"> </w:t>
      </w:r>
      <w:r>
        <w:rPr>
          <w:b/>
          <w:bCs/>
        </w:rPr>
        <w:t xml:space="preserve">6.7%</w:t>
      </w:r>
      <w:r>
        <w:t xml:space="preserve">, modestly ahead of the Utilities Select Sector SPDR’s roughly 5.4%.</w:t>
      </w:r>
    </w:p>
    <w:p>
      <w:pPr>
        <w:pStyle w:val="FirstParagraph"/>
      </w:pPr>
      <w:r>
        <w:t xml:space="preserve">That valuation is not inexpensive for a regulated utility. It reflects WEC’s execution record, dividend growth and above-average data-center-driven capital opportunity. It also means the stock may need more than a routine</w:t>
      </w:r>
      <w:r>
        <w:t xml:space="preserve"> </w:t>
      </w:r>
      <m:oMath>
        <m:r>
          <m:t>0.01</m:t>
        </m:r>
        <m:r>
          <m:rPr>
            <m:sty m:val="p"/>
          </m:rPr>
          <m:t>–</m:t>
        </m:r>
      </m:oMath>
      <w:r>
        <w:t xml:space="preserve">0.02 EPS beat to respond positively.</w:t>
      </w:r>
    </w:p>
    <w:bookmarkEnd w:id="24"/>
    <w:bookmarkStart w:id="28" w:name="Xedeb3e8b8b6b50bd9ad09e91404d25836e6b0e2"/>
    <w:p>
      <w:pPr>
        <w:pStyle w:val="Heading2"/>
      </w:pPr>
      <w:r>
        <w:t xml:space="preserve">What would constitute a good or bad report?</w:t>
      </w:r>
    </w:p>
    <w:bookmarkStart w:id="25" w:name="positive"/>
    <w:p>
      <w:pPr>
        <w:pStyle w:val="Heading3"/>
      </w:pPr>
      <w:r>
        <w:t xml:space="preserve">Positive</w:t>
      </w:r>
    </w:p>
    <w:p>
      <w:pPr>
        <w:pStyle w:val="Compact"/>
        <w:numPr>
          <w:ilvl w:val="0"/>
          <w:numId w:val="1008"/>
        </w:numPr>
      </w:pPr>
      <w:r>
        <w:t xml:space="preserve">EPS above the $0.82 guidance ceiling.</w:t>
      </w:r>
    </w:p>
    <w:p>
      <w:pPr>
        <w:pStyle w:val="Compact"/>
        <w:numPr>
          <w:ilvl w:val="0"/>
          <w:numId w:val="1008"/>
        </w:numPr>
      </w:pPr>
      <w:r>
        <w:t xml:space="preserve">Full-year guidance raised or management explicitly targeting its upper half.</w:t>
      </w:r>
    </w:p>
    <w:p>
      <w:pPr>
        <w:pStyle w:val="Compact"/>
        <w:numPr>
          <w:ilvl w:val="0"/>
          <w:numId w:val="1008"/>
        </w:numPr>
      </w:pPr>
      <w:r>
        <w:t xml:space="preserve">No change to the Vantage/Oracle load or construction schedule.</w:t>
      </w:r>
    </w:p>
    <w:p>
      <w:pPr>
        <w:pStyle w:val="Compact"/>
        <w:numPr>
          <w:ilvl w:val="0"/>
          <w:numId w:val="1008"/>
        </w:numPr>
      </w:pPr>
      <w:r>
        <w:t xml:space="preserve">A credible path to resolving collateral requirements without transferring material risk to WEC.</w:t>
      </w:r>
    </w:p>
    <w:p>
      <w:pPr>
        <w:pStyle w:val="Compact"/>
        <w:numPr>
          <w:ilvl w:val="0"/>
          <w:numId w:val="1008"/>
        </w:numPr>
      </w:pPr>
      <w:r>
        <w:t xml:space="preserve">Capital projects on time and within budget.</w:t>
      </w:r>
    </w:p>
    <w:p>
      <w:pPr>
        <w:pStyle w:val="Compact"/>
        <w:numPr>
          <w:ilvl w:val="0"/>
          <w:numId w:val="1008"/>
        </w:numPr>
      </w:pPr>
      <w:r>
        <w:t xml:space="preserve">Weather-normal sales and large-C&amp;I demand at or above the 1.5% annual forecast.</w:t>
      </w:r>
    </w:p>
    <w:p>
      <w:pPr>
        <w:pStyle w:val="Compact"/>
        <w:numPr>
          <w:ilvl w:val="0"/>
          <w:numId w:val="1008"/>
        </w:numPr>
      </w:pPr>
      <w:r>
        <w:t xml:space="preserve">Continued progress on equity financing without raising the five-year issuance requirement.</w:t>
      </w:r>
    </w:p>
    <w:bookmarkEnd w:id="25"/>
    <w:bookmarkStart w:id="26" w:name="neutral"/>
    <w:p>
      <w:pPr>
        <w:pStyle w:val="Heading3"/>
      </w:pPr>
      <w:r>
        <w:t xml:space="preserve">Neutral</w:t>
      </w:r>
    </w:p>
    <w:p>
      <w:pPr>
        <w:pStyle w:val="Compact"/>
        <w:numPr>
          <w:ilvl w:val="0"/>
          <w:numId w:val="1009"/>
        </w:numPr>
      </w:pPr>
      <w:r>
        <w:t xml:space="preserve">EPS around</w:t>
      </w:r>
      <w:r>
        <w:t xml:space="preserve"> </w:t>
      </w:r>
      <m:oMath>
        <m:r>
          <m:t>0.79</m:t>
        </m:r>
        <m:r>
          <m:rPr>
            <m:sty m:val="p"/>
          </m:rPr>
          <m:t>–</m:t>
        </m:r>
      </m:oMath>
      <w:r>
        <w:t xml:space="preserve">0.81.</w:t>
      </w:r>
    </w:p>
    <w:p>
      <w:pPr>
        <w:pStyle w:val="Compact"/>
        <w:numPr>
          <w:ilvl w:val="0"/>
          <w:numId w:val="1009"/>
        </w:numPr>
      </w:pPr>
      <w:r>
        <w:t xml:space="preserve">Full-year guidance reaffirmed.</w:t>
      </w:r>
    </w:p>
    <w:p>
      <w:pPr>
        <w:pStyle w:val="Compact"/>
        <w:numPr>
          <w:ilvl w:val="0"/>
          <w:numId w:val="1009"/>
        </w:numPr>
      </w:pPr>
      <w:r>
        <w:t xml:space="preserve">No material changes to the capital plan.</w:t>
      </w:r>
    </w:p>
    <w:p>
      <w:pPr>
        <w:pStyle w:val="Compact"/>
        <w:numPr>
          <w:ilvl w:val="0"/>
          <w:numId w:val="1009"/>
        </w:numPr>
      </w:pPr>
      <w:r>
        <w:t xml:space="preserve">Oracle litigation described as manageable but unresolved.</w:t>
      </w:r>
    </w:p>
    <w:bookmarkEnd w:id="26"/>
    <w:bookmarkStart w:id="27" w:name="negative"/>
    <w:p>
      <w:pPr>
        <w:pStyle w:val="Heading3"/>
      </w:pPr>
      <w:r>
        <w:t xml:space="preserve">Negative</w:t>
      </w:r>
    </w:p>
    <w:p>
      <w:pPr>
        <w:pStyle w:val="Compact"/>
        <w:numPr>
          <w:ilvl w:val="0"/>
          <w:numId w:val="1010"/>
        </w:numPr>
      </w:pPr>
      <w:r>
        <w:t xml:space="preserve">EPS below $0.76 or an O&amp;M/interest-driven guidance reduction.</w:t>
      </w:r>
    </w:p>
    <w:p>
      <w:pPr>
        <w:pStyle w:val="Compact"/>
        <w:numPr>
          <w:ilvl w:val="0"/>
          <w:numId w:val="1010"/>
        </w:numPr>
      </w:pPr>
      <w:r>
        <w:t xml:space="preserve">Delay to the Vantage energization schedule.</w:t>
      </w:r>
    </w:p>
    <w:p>
      <w:pPr>
        <w:pStyle w:val="Compact"/>
        <w:numPr>
          <w:ilvl w:val="0"/>
          <w:numId w:val="1010"/>
        </w:numPr>
      </w:pPr>
      <w:r>
        <w:t xml:space="preserve">Evidence WEC is spending ahead of firm contractual or credit protections.</w:t>
      </w:r>
    </w:p>
    <w:p>
      <w:pPr>
        <w:pStyle w:val="Compact"/>
        <w:numPr>
          <w:ilvl w:val="0"/>
          <w:numId w:val="1010"/>
        </w:numPr>
      </w:pPr>
      <w:r>
        <w:t xml:space="preserve">Higher project costs, financing needs or common-equity issuance.</w:t>
      </w:r>
    </w:p>
    <w:p>
      <w:pPr>
        <w:pStyle w:val="Compact"/>
        <w:numPr>
          <w:ilvl w:val="0"/>
          <w:numId w:val="1010"/>
        </w:numPr>
      </w:pPr>
      <w:r>
        <w:t xml:space="preserve">Regulatory developments that weaken expected cost recovery.</w:t>
      </w:r>
    </w:p>
    <w:p>
      <w:pPr>
        <w:pStyle w:val="Compact"/>
        <w:numPr>
          <w:ilvl w:val="0"/>
          <w:numId w:val="1010"/>
        </w:numPr>
      </w:pPr>
      <w:r>
        <w:t xml:space="preserve">A slowdown in Microsoft’s forecast load ramp.</w:t>
      </w:r>
    </w:p>
    <w:bookmarkEnd w:id="27"/>
    <w:bookmarkEnd w:id="28"/>
    <w:bookmarkStart w:id="29" w:name="bottom-line"/>
    <w:p>
      <w:pPr>
        <w:pStyle w:val="Heading2"/>
      </w:pPr>
      <w:r>
        <w:t xml:space="preserve">Bottom line</w:t>
      </w:r>
    </w:p>
    <w:p>
      <w:pPr>
        <w:pStyle w:val="FirstParagraph"/>
      </w:pPr>
      <w:r>
        <w:t xml:space="preserve">WEC should be capable of delivering a quarter close to the</w:t>
      </w:r>
      <w:r>
        <w:t xml:space="preserve"> </w:t>
      </w:r>
      <m:oMath>
        <m:r>
          <m:t>0.80</m:t>
        </m:r>
        <m:r>
          <m:t>c</m:t>
        </m:r>
        <m:r>
          <m:t>o</m:t>
        </m:r>
        <m:r>
          <m:t>n</m:t>
        </m:r>
        <m:r>
          <m:t>s</m:t>
        </m:r>
        <m:r>
          <m:t>e</m:t>
        </m:r>
        <m:r>
          <m:t>n</m:t>
        </m:r>
        <m:r>
          <m:t>s</m:t>
        </m:r>
        <m:r>
          <m:t>u</m:t>
        </m:r>
        <m:r>
          <m:t>s</m:t>
        </m:r>
        <m:r>
          <m:rPr>
            <m:sty m:val="p"/>
          </m:rPr>
          <m:t>*</m:t>
        </m:r>
        <m:r>
          <m:rPr>
            <m:sty m:val="p"/>
          </m:rPr>
          <m:t>*</m:t>
        </m:r>
        <m:r>
          <m:t>a</m:t>
        </m:r>
        <m:r>
          <m:t>n</m:t>
        </m:r>
        <m:r>
          <m:t>d</m:t>
        </m:r>
        <m:r>
          <m:t>r</m:t>
        </m:r>
        <m:r>
          <m:t>e</m:t>
        </m:r>
        <m:r>
          <m:t>a</m:t>
        </m:r>
        <m:r>
          <m:t>f</m:t>
        </m:r>
        <m:r>
          <m:t>f</m:t>
        </m:r>
        <m:r>
          <m:t>i</m:t>
        </m:r>
        <m:r>
          <m:t>r</m:t>
        </m:r>
        <m:r>
          <m:t>m</m:t>
        </m:r>
        <m:r>
          <m:t>i</m:t>
        </m:r>
        <m:r>
          <m:t>n</m:t>
        </m:r>
        <m:r>
          <m:t>g</m:t>
        </m:r>
        <m:r>
          <m:rPr>
            <m:sty m:val="p"/>
          </m:rPr>
          <m:t>*</m:t>
        </m:r>
        <m:r>
          <m:rPr>
            <m:sty m:val="p"/>
          </m:rPr>
          <m:t>*</m:t>
        </m:r>
      </m:oMath>
      <w:r>
        <w:rPr>
          <w:b/>
          <w:bCs/>
        </w:rPr>
        <w:t xml:space="preserve">5.51–$5.61</w:t>
      </w:r>
      <w:r>
        <w:t xml:space="preserve"> </w:t>
      </w:r>
      <w:r>
        <w:t xml:space="preserve">annual guidance. The earnings print is only one part of the setup, however.</w:t>
      </w:r>
    </w:p>
    <w:p>
      <w:pPr>
        <w:pStyle w:val="BodyText"/>
      </w:pPr>
      <w:r>
        <w:t xml:space="preserve">The decisive issue is whether WEC can convert Wisconsin’s enormous data-center demand into regulated investment</w:t>
      </w:r>
      <w:r>
        <w:t xml:space="preserve"> </w:t>
      </w:r>
      <w:r>
        <w:rPr>
          <w:b/>
          <w:bCs/>
        </w:rPr>
        <w:t xml:space="preserve">without assuming disproportionate counterparty, regulatory or financing risk</w:t>
      </w:r>
      <w:r>
        <w:t xml:space="preserve">. Clear reassurance on the Oracle dispute and Vantage schedule would be more valuable than a small EPS beat; ambiguity around those issues could overshadow otherwise solid utility results.</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city.milwaukee.gov/Health/News/2026-News-Releases/June-2026/City-of-Milwaukee-Health-Department-Urges-Residents-to-Prepare-for-Dangerous-Heat?utm_source=openai" TargetMode="External" /><Relationship Type="http://schemas.openxmlformats.org/officeDocument/2006/relationships/hyperlink" Id="rId17" Target="https://content.govdelivery.com/accounts/WIPSC/bulletins/4147a70?utm_source=openai" TargetMode="External" /><Relationship Type="http://schemas.openxmlformats.org/officeDocument/2006/relationships/hyperlink" Id="rId20" Target="https://icc.illinois.gov/api/web-management/documents/downloads/public/press-release/05-26-26%20Peoples%20North%20Shore%20settlements.pdf?utm_source=openai" TargetMode="External" /><Relationship Type="http://schemas.openxmlformats.org/officeDocument/2006/relationships/hyperlink" Id="rId9" Target="https://investor.wecenergygroup.com/investors/earnings/event-details/default.aspx?utm_source=openai" TargetMode="External" /><Relationship Type="http://schemas.openxmlformats.org/officeDocument/2006/relationships/hyperlink" Id="rId11" Target="https://investor.wecenergygroup.com/investors/news-releases/press-release-details/2026/WEC-Energy-Group-reports-first-quarter-results/default.aspx?utm_source=openai" TargetMode="External" /><Relationship Type="http://schemas.openxmlformats.org/officeDocument/2006/relationships/hyperlink" Id="rId18" Target="https://www.latitudemedia.com/news/does-oracle-actually-have-a-case-against-wisconsins-data-center-rule/?utm_source=openai" TargetMode="External" /><Relationship Type="http://schemas.openxmlformats.org/officeDocument/2006/relationships/hyperlink" Id="rId22" Target="https://www.sec.gov/Archives/edgar/data/783325/000078332526000040/a042026aprilfinal.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city.milwaukee.gov/Health/News/2026-News-Releases/June-2026/City-of-Milwaukee-Health-Department-Urges-Residents-to-Prepare-for-Dangerous-Heat?utm_source=openai" TargetMode="External" /><Relationship Type="http://schemas.openxmlformats.org/officeDocument/2006/relationships/hyperlink" Id="rId17" Target="https://content.govdelivery.com/accounts/WIPSC/bulletins/4147a70?utm_source=openai" TargetMode="External" /><Relationship Type="http://schemas.openxmlformats.org/officeDocument/2006/relationships/hyperlink" Id="rId20" Target="https://icc.illinois.gov/api/web-management/documents/downloads/public/press-release/05-26-26%20Peoples%20North%20Shore%20settlements.pdf?utm_source=openai" TargetMode="External" /><Relationship Type="http://schemas.openxmlformats.org/officeDocument/2006/relationships/hyperlink" Id="rId9" Target="https://investor.wecenergygroup.com/investors/earnings/event-details/default.aspx?utm_source=openai" TargetMode="External" /><Relationship Type="http://schemas.openxmlformats.org/officeDocument/2006/relationships/hyperlink" Id="rId11" Target="https://investor.wecenergygroup.com/investors/news-releases/press-release-details/2026/WEC-Energy-Group-reports-first-quarter-results/default.aspx?utm_source=openai" TargetMode="External" /><Relationship Type="http://schemas.openxmlformats.org/officeDocument/2006/relationships/hyperlink" Id="rId18" Target="https://www.latitudemedia.com/news/does-oracle-actually-have-a-case-against-wisconsins-data-center-rule/?utm_source=openai" TargetMode="External" /><Relationship Type="http://schemas.openxmlformats.org/officeDocument/2006/relationships/hyperlink" Id="rId22" Target="https://www.sec.gov/Archives/edgar/data/783325/000078332526000040/a042026aprilfinal.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2026-07-29T01:11:42Z</dcterms:created>
  <dcterms:modified xsi:type="dcterms:W3CDTF">2026-07-29T01:11:42Z</dcterms:modified>
</cp:coreProperties>
</file>

<file path=docProps/custom.xml><?xml version="1.0" encoding="utf-8"?>
<Properties xmlns="http://schemas.openxmlformats.org/officeDocument/2006/custom-properties" xmlns:vt="http://schemas.openxmlformats.org/officeDocument/2006/docPropsVTypes"/>
</file>